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sz w:val="24"/>
          <w:szCs w:val="24"/>
        </w:rPr>
      </w:pPr>
    </w:p>
    <w:p>
      <w:pPr>
        <w:spacing w:line="360" w:lineRule="auto"/>
        <w:jc w:val="center"/>
        <w:rPr>
          <w:b/>
          <w:sz w:val="24"/>
          <w:szCs w:val="24"/>
        </w:rPr>
      </w:pPr>
    </w:p>
    <w:p>
      <w:pPr>
        <w:spacing w:line="360" w:lineRule="auto"/>
        <w:jc w:val="center"/>
        <w:rPr>
          <w:b/>
          <w:sz w:val="24"/>
          <w:szCs w:val="24"/>
        </w:rPr>
      </w:pPr>
    </w:p>
    <w:p>
      <w:pPr>
        <w:spacing w:line="360" w:lineRule="auto"/>
        <w:jc w:val="center"/>
        <w:rPr>
          <w:b/>
          <w:sz w:val="24"/>
          <w:szCs w:val="24"/>
        </w:rPr>
      </w:pPr>
      <w:r>
        <w:rPr>
          <w:rFonts w:hint="eastAsia"/>
          <w:b/>
          <w:sz w:val="32"/>
          <w:szCs w:val="32"/>
        </w:rPr>
        <w:t>利用高考成绩实施增值评价的风险及其规避办法</w:t>
      </w:r>
    </w:p>
    <w:p>
      <w:pPr>
        <w:spacing w:line="360" w:lineRule="auto"/>
        <w:jc w:val="center"/>
        <w:rPr>
          <w:b/>
          <w:sz w:val="24"/>
          <w:szCs w:val="24"/>
        </w:rPr>
      </w:pPr>
    </w:p>
    <w:p>
      <w:pPr>
        <w:spacing w:line="360" w:lineRule="auto"/>
        <w:jc w:val="center"/>
        <w:rPr>
          <w:sz w:val="24"/>
          <w:szCs w:val="24"/>
        </w:rPr>
      </w:pPr>
      <w:r>
        <w:rPr>
          <w:rFonts w:hint="eastAsia"/>
          <w:sz w:val="24"/>
          <w:szCs w:val="24"/>
        </w:rPr>
        <w:t>杨志明        丁港</w:t>
      </w:r>
      <w:r>
        <w:rPr>
          <w:rStyle w:val="9"/>
          <w:sz w:val="24"/>
          <w:szCs w:val="24"/>
        </w:rPr>
        <w:footnoteReference w:id="0" w:customMarkFollows="1"/>
        <w:sym w:font="Symbol" w:char="F020"/>
      </w:r>
    </w:p>
    <w:p>
      <w:pPr>
        <w:spacing w:line="360" w:lineRule="auto"/>
        <w:jc w:val="center"/>
        <w:rPr>
          <w:sz w:val="24"/>
          <w:szCs w:val="24"/>
        </w:rPr>
      </w:pPr>
    </w:p>
    <w:p>
      <w:pPr>
        <w:spacing w:line="360" w:lineRule="auto"/>
        <w:ind w:firstLine="482" w:firstLineChars="200"/>
        <w:rPr>
          <w:rFonts w:ascii="Times New Roman" w:hAnsi="Times New Roman" w:cs="Times New Roman"/>
          <w:sz w:val="24"/>
          <w:szCs w:val="24"/>
        </w:rPr>
      </w:pPr>
      <w:r>
        <w:rPr>
          <w:rFonts w:ascii="Times New Roman" w:hAnsi="Times New Roman" w:cs="Times New Roman"/>
          <w:b/>
          <w:sz w:val="24"/>
          <w:szCs w:val="24"/>
        </w:rPr>
        <w:t>[</w:t>
      </w:r>
      <w:r>
        <w:rPr>
          <w:rFonts w:ascii="Times New Roman" w:cs="Times New Roman"/>
          <w:b/>
          <w:sz w:val="24"/>
          <w:szCs w:val="24"/>
        </w:rPr>
        <w:t>摘</w:t>
      </w:r>
      <w:r>
        <w:rPr>
          <w:rFonts w:ascii="Times New Roman" w:hAnsi="Times New Roman" w:cs="Times New Roman"/>
          <w:b/>
          <w:sz w:val="24"/>
          <w:szCs w:val="24"/>
        </w:rPr>
        <w:t xml:space="preserve">   </w:t>
      </w:r>
      <w:r>
        <w:rPr>
          <w:rFonts w:ascii="Times New Roman" w:cs="Times New Roman"/>
          <w:b/>
          <w:sz w:val="24"/>
          <w:szCs w:val="24"/>
        </w:rPr>
        <w:t>要</w:t>
      </w:r>
      <w:r>
        <w:rPr>
          <w:rFonts w:ascii="Times New Roman" w:hAnsi="Times New Roman" w:cs="Times New Roman"/>
          <w:sz w:val="24"/>
          <w:szCs w:val="24"/>
        </w:rPr>
        <w:t xml:space="preserve">]  </w:t>
      </w:r>
      <w:r>
        <w:rPr>
          <w:rFonts w:ascii="Times New Roman" w:hAnsi="仿宋" w:eastAsia="仿宋" w:cs="Times New Roman"/>
          <w:sz w:val="24"/>
          <w:szCs w:val="24"/>
        </w:rPr>
        <w:t>高考分数在教育评价方面一直扮演着十分重要的角色，但直接使用高考成绩实施增值评价存在着不准确和不公平等潜在风险。根据各地公布的高考</w:t>
      </w:r>
      <w:r>
        <w:rPr>
          <w:rFonts w:ascii="Times New Roman" w:hAnsi="Times New Roman" w:eastAsia="仿宋" w:cs="Times New Roman"/>
          <w:sz w:val="24"/>
          <w:szCs w:val="24"/>
        </w:rPr>
        <w:t>“</w:t>
      </w:r>
      <w:r>
        <w:rPr>
          <w:rFonts w:ascii="Times New Roman" w:hAnsi="仿宋" w:eastAsia="仿宋" w:cs="Times New Roman"/>
          <w:sz w:val="24"/>
          <w:szCs w:val="24"/>
        </w:rPr>
        <w:t>一分一段分数表</w:t>
      </w:r>
      <w:r>
        <w:rPr>
          <w:rFonts w:ascii="Times New Roman" w:hAnsi="Times New Roman" w:eastAsia="仿宋" w:cs="Times New Roman"/>
          <w:sz w:val="24"/>
          <w:szCs w:val="24"/>
        </w:rPr>
        <w:t>”</w:t>
      </w:r>
      <w:r>
        <w:rPr>
          <w:rFonts w:ascii="Times New Roman" w:hAnsi="仿宋" w:eastAsia="仿宋" w:cs="Times New Roman"/>
          <w:sz w:val="24"/>
          <w:szCs w:val="24"/>
        </w:rPr>
        <w:t>，建议使用均值</w:t>
      </w:r>
      <w:r>
        <w:rPr>
          <w:rFonts w:ascii="Times New Roman" w:hAnsi="Times New Roman" w:eastAsia="仿宋" w:cs="Times New Roman"/>
          <w:sz w:val="24"/>
          <w:szCs w:val="24"/>
        </w:rPr>
        <w:t>/</w:t>
      </w:r>
      <w:r>
        <w:rPr>
          <w:rFonts w:ascii="Times New Roman" w:hAnsi="仿宋" w:eastAsia="仿宋" w:cs="Times New Roman"/>
          <w:sz w:val="24"/>
          <w:szCs w:val="24"/>
        </w:rPr>
        <w:t>标准差线性等值方法和等百分位等值方法，首先实现高考总分的跨年度等值，然后运用</w:t>
      </w:r>
      <w:r>
        <w:rPr>
          <w:rFonts w:ascii="Times New Roman" w:hAnsi="Times New Roman" w:eastAsia="仿宋" w:cs="Times New Roman"/>
          <w:sz w:val="24"/>
          <w:szCs w:val="24"/>
        </w:rPr>
        <w:t>“</w:t>
      </w:r>
      <w:r>
        <w:rPr>
          <w:rFonts w:ascii="Times New Roman" w:hAnsi="仿宋" w:eastAsia="仿宋" w:cs="Times New Roman"/>
          <w:sz w:val="24"/>
          <w:szCs w:val="24"/>
        </w:rPr>
        <w:t>增分模型</w:t>
      </w:r>
      <w:r>
        <w:rPr>
          <w:rFonts w:ascii="Times New Roman" w:hAnsi="Times New Roman" w:eastAsia="仿宋" w:cs="Times New Roman"/>
          <w:sz w:val="24"/>
          <w:szCs w:val="24"/>
        </w:rPr>
        <w:t>”</w:t>
      </w:r>
      <w:r>
        <w:rPr>
          <w:rFonts w:ascii="Times New Roman" w:hAnsi="仿宋" w:eastAsia="仿宋" w:cs="Times New Roman"/>
          <w:sz w:val="24"/>
          <w:szCs w:val="24"/>
        </w:rPr>
        <w:t>或</w:t>
      </w:r>
      <w:r>
        <w:rPr>
          <w:rFonts w:ascii="Times New Roman" w:hAnsi="Times New Roman" w:eastAsia="仿宋" w:cs="Times New Roman"/>
          <w:sz w:val="24"/>
          <w:szCs w:val="24"/>
        </w:rPr>
        <w:t>“</w:t>
      </w:r>
      <w:r>
        <w:rPr>
          <w:rFonts w:ascii="Times New Roman" w:hAnsi="仿宋" w:eastAsia="仿宋" w:cs="Times New Roman"/>
          <w:sz w:val="24"/>
          <w:szCs w:val="24"/>
        </w:rPr>
        <w:t>分类模型</w:t>
      </w:r>
      <w:r>
        <w:rPr>
          <w:rFonts w:ascii="Times New Roman" w:hAnsi="Times New Roman" w:eastAsia="仿宋" w:cs="Times New Roman"/>
          <w:sz w:val="24"/>
          <w:szCs w:val="24"/>
        </w:rPr>
        <w:t>”</w:t>
      </w:r>
      <w:r>
        <w:rPr>
          <w:rFonts w:ascii="Times New Roman" w:hAnsi="仿宋" w:eastAsia="仿宋" w:cs="Times New Roman"/>
          <w:sz w:val="24"/>
          <w:szCs w:val="24"/>
        </w:rPr>
        <w:t>或</w:t>
      </w:r>
      <w:r>
        <w:rPr>
          <w:rFonts w:ascii="Times New Roman" w:hAnsi="Times New Roman" w:eastAsia="仿宋" w:cs="Times New Roman"/>
          <w:sz w:val="24"/>
          <w:szCs w:val="24"/>
        </w:rPr>
        <w:t>“</w:t>
      </w:r>
      <w:r>
        <w:rPr>
          <w:rFonts w:ascii="Times New Roman" w:hAnsi="仿宋" w:eastAsia="仿宋" w:cs="Times New Roman"/>
          <w:sz w:val="24"/>
          <w:szCs w:val="24"/>
        </w:rPr>
        <w:t>轨道模型</w:t>
      </w:r>
      <w:r>
        <w:rPr>
          <w:rFonts w:ascii="Times New Roman" w:hAnsi="Times New Roman" w:eastAsia="仿宋" w:cs="Times New Roman"/>
          <w:sz w:val="24"/>
          <w:szCs w:val="24"/>
        </w:rPr>
        <w:t>”</w:t>
      </w:r>
      <w:r>
        <w:rPr>
          <w:rFonts w:ascii="Times New Roman" w:hAnsi="仿宋" w:eastAsia="仿宋" w:cs="Times New Roman"/>
          <w:sz w:val="24"/>
          <w:szCs w:val="24"/>
        </w:rPr>
        <w:t>实施增值评价。某省连续</w:t>
      </w:r>
      <w:r>
        <w:rPr>
          <w:rFonts w:ascii="Times New Roman" w:hAnsi="Times New Roman" w:eastAsia="仿宋" w:cs="Times New Roman"/>
          <w:sz w:val="24"/>
          <w:szCs w:val="24"/>
        </w:rPr>
        <w:t>3</w:t>
      </w:r>
      <w:r>
        <w:rPr>
          <w:rFonts w:ascii="Times New Roman" w:hAnsi="仿宋" w:eastAsia="仿宋" w:cs="Times New Roman"/>
          <w:sz w:val="24"/>
          <w:szCs w:val="24"/>
        </w:rPr>
        <w:t>年高考数据的实际应用效果表明，本方案可以有效规避风险，保障增值评价的质量，适用于各高中或教育局等部门自行开展增值评价工作。</w:t>
      </w:r>
    </w:p>
    <w:p>
      <w:pPr>
        <w:spacing w:line="360" w:lineRule="auto"/>
        <w:ind w:firstLine="482" w:firstLineChars="200"/>
        <w:rPr>
          <w:rFonts w:ascii="Times New Roman" w:hAnsi="Times New Roman" w:cs="Times New Roman"/>
          <w:sz w:val="24"/>
          <w:szCs w:val="24"/>
        </w:rPr>
      </w:pPr>
      <w:r>
        <w:rPr>
          <w:rFonts w:ascii="Times New Roman" w:hAnsi="Times New Roman" w:cs="Times New Roman"/>
          <w:b/>
          <w:sz w:val="24"/>
          <w:szCs w:val="24"/>
        </w:rPr>
        <w:t>[</w:t>
      </w:r>
      <w:r>
        <w:rPr>
          <w:rFonts w:ascii="Times New Roman" w:cs="Times New Roman"/>
          <w:b/>
          <w:sz w:val="24"/>
          <w:szCs w:val="24"/>
        </w:rPr>
        <w:t>关键词</w:t>
      </w:r>
      <w:r>
        <w:rPr>
          <w:rFonts w:ascii="Times New Roman" w:hAnsi="Times New Roman" w:cs="Times New Roman"/>
          <w:sz w:val="24"/>
          <w:szCs w:val="24"/>
        </w:rPr>
        <w:t xml:space="preserve">]  </w:t>
      </w:r>
      <w:r>
        <w:rPr>
          <w:rFonts w:ascii="Times New Roman" w:hAnsi="仿宋" w:eastAsia="仿宋" w:cs="Times New Roman"/>
          <w:sz w:val="24"/>
          <w:szCs w:val="24"/>
        </w:rPr>
        <w:t>高考；测验等值；增值评价</w:t>
      </w:r>
    </w:p>
    <w:p>
      <w:pPr>
        <w:spacing w:line="360" w:lineRule="auto"/>
        <w:rPr>
          <w:rFonts w:ascii="Times New Roman" w:hAnsi="Times New Roman" w:cs="Times New Roman"/>
          <w:sz w:val="24"/>
          <w:szCs w:val="24"/>
        </w:rPr>
      </w:pPr>
    </w:p>
    <w:p>
      <w:pPr>
        <w:spacing w:line="360" w:lineRule="auto"/>
        <w:ind w:firstLine="450"/>
        <w:jc w:val="both"/>
        <w:rPr>
          <w:rFonts w:ascii="Times New Roman" w:hAnsi="Times New Roman" w:cs="Times New Roman"/>
          <w:sz w:val="24"/>
          <w:szCs w:val="24"/>
        </w:rPr>
      </w:pPr>
      <w:r>
        <w:rPr>
          <w:rFonts w:ascii="Times New Roman" w:cs="Times New Roman"/>
          <w:sz w:val="24"/>
          <w:szCs w:val="24"/>
        </w:rPr>
        <w:t>每年高考结束之后，许多人都会有意或无意地根据高考成绩对学生、班级、学校、地区等方面的教育水平做增值评价，有些单位还会以此为依据对相关个体或团队做出一些奖惩的决定。比如，媒体上出现的</w:t>
      </w:r>
      <w:r>
        <w:rPr>
          <w:rFonts w:ascii="Times New Roman" w:hAnsi="Times New Roman" w:cs="Times New Roman"/>
          <w:sz w:val="24"/>
          <w:szCs w:val="24"/>
        </w:rPr>
        <w:t>“</w:t>
      </w:r>
      <w:r>
        <w:rPr>
          <w:rFonts w:ascii="Times New Roman" w:cs="Times New Roman"/>
          <w:sz w:val="24"/>
          <w:szCs w:val="24"/>
        </w:rPr>
        <w:t>某省或某校今年的高考分数提高了多少，因此某省或某校的教育质量提高了</w:t>
      </w:r>
      <w:r>
        <w:rPr>
          <w:rFonts w:ascii="Times New Roman" w:hAnsi="Times New Roman" w:cs="Times New Roman"/>
          <w:sz w:val="24"/>
          <w:szCs w:val="24"/>
        </w:rPr>
        <w:t>”</w:t>
      </w:r>
      <w:r>
        <w:rPr>
          <w:rFonts w:ascii="Times New Roman" w:cs="Times New Roman"/>
          <w:sz w:val="24"/>
          <w:szCs w:val="24"/>
        </w:rPr>
        <w:t>一类的评论，就属于增值评价的一种。不过，这种粗放的增值评价并不可取，因为它存在着不准确和不公平的风险。事实上，高考总分不仅是考生知识和能力水平的反映，而且是试卷难度和评分松紧程度等干扰因素综合作用的结果，这就使得不同年度的高考总分，被表达在分数单位和参照点不同的度量系统（</w:t>
      </w:r>
      <w:r>
        <w:rPr>
          <w:rFonts w:ascii="Times New Roman" w:hAnsi="Times New Roman" w:cs="Times New Roman"/>
          <w:sz w:val="24"/>
          <w:szCs w:val="24"/>
        </w:rPr>
        <w:t>scale</w:t>
      </w:r>
      <w:r>
        <w:rPr>
          <w:rFonts w:ascii="Times New Roman" w:cs="Times New Roman"/>
          <w:sz w:val="24"/>
          <w:szCs w:val="24"/>
        </w:rPr>
        <w:t>，量表）之上。显然，把度量系统不同的跨年度高考分数做直接比较并不恰当。为了解决这个问题，各省市考试机构通常会给考生提供高考总分及其在全省</w:t>
      </w:r>
      <w:r>
        <w:rPr>
          <w:rFonts w:ascii="Times New Roman" w:hAnsi="Times New Roman" w:cs="Times New Roman"/>
          <w:sz w:val="24"/>
          <w:szCs w:val="24"/>
        </w:rPr>
        <w:t>/</w:t>
      </w:r>
      <w:r>
        <w:rPr>
          <w:rFonts w:ascii="Times New Roman" w:cs="Times New Roman"/>
          <w:sz w:val="24"/>
          <w:szCs w:val="24"/>
        </w:rPr>
        <w:t>市</w:t>
      </w:r>
      <w:r>
        <w:rPr>
          <w:rFonts w:ascii="Times New Roman" w:hAnsi="Times New Roman" w:cs="Times New Roman"/>
          <w:sz w:val="24"/>
          <w:szCs w:val="24"/>
        </w:rPr>
        <w:t>/</w:t>
      </w:r>
      <w:r>
        <w:rPr>
          <w:rFonts w:ascii="Times New Roman" w:cs="Times New Roman"/>
          <w:sz w:val="24"/>
          <w:szCs w:val="24"/>
        </w:rPr>
        <w:t>区的排名等信息，有些高考志愿填报指导机构还推出了</w:t>
      </w:r>
      <w:r>
        <w:rPr>
          <w:rFonts w:ascii="Times New Roman" w:hAnsi="Times New Roman" w:cs="Times New Roman"/>
          <w:sz w:val="24"/>
          <w:szCs w:val="24"/>
        </w:rPr>
        <w:t>“</w:t>
      </w:r>
      <w:r>
        <w:rPr>
          <w:rFonts w:ascii="Times New Roman" w:cs="Times New Roman"/>
          <w:sz w:val="24"/>
          <w:szCs w:val="24"/>
        </w:rPr>
        <w:t>等位分数</w:t>
      </w:r>
      <w:r>
        <w:rPr>
          <w:rFonts w:ascii="Times New Roman" w:hAnsi="Times New Roman" w:cs="Times New Roman"/>
          <w:sz w:val="24"/>
          <w:szCs w:val="24"/>
        </w:rPr>
        <w:t>”</w:t>
      </w:r>
      <w:r>
        <w:rPr>
          <w:rFonts w:ascii="Times New Roman" w:cs="Times New Roman"/>
          <w:sz w:val="24"/>
          <w:szCs w:val="24"/>
        </w:rPr>
        <w:t>等方面的服务项目。从教育测量学角度看，解决这个问题的根本方法是对跨年度的高考分数做测验等值（</w:t>
      </w:r>
      <w:r>
        <w:rPr>
          <w:rFonts w:ascii="Times New Roman" w:hAnsi="Times New Roman" w:cs="Times New Roman"/>
          <w:sz w:val="24"/>
          <w:szCs w:val="24"/>
        </w:rPr>
        <w:t>test equating</w:t>
      </w:r>
      <w:r>
        <w:rPr>
          <w:rFonts w:ascii="Times New Roman" w:cs="Times New Roman"/>
          <w:sz w:val="24"/>
          <w:szCs w:val="24"/>
        </w:rPr>
        <w:t>）处理。不过，受到我国考试题型开放性程度较高、高考试题不能提前试测、常用的等值设计无法实施等条件的限制，我国目前的高考分数没有做等值处理。因此，很有必要探究一套既符合国情，又能解决高考分数跨年度比较的方法。本文以某省公布的连续三年的</w:t>
      </w:r>
      <w:r>
        <w:rPr>
          <w:rFonts w:ascii="Times New Roman" w:hAnsi="Times New Roman" w:cs="Times New Roman"/>
          <w:sz w:val="24"/>
          <w:szCs w:val="24"/>
        </w:rPr>
        <w:t>“</w:t>
      </w:r>
      <w:r>
        <w:rPr>
          <w:rFonts w:ascii="Times New Roman" w:cs="Times New Roman"/>
          <w:sz w:val="24"/>
          <w:szCs w:val="24"/>
        </w:rPr>
        <w:t>一分一段分数表</w:t>
      </w:r>
      <w:r>
        <w:rPr>
          <w:rFonts w:ascii="Times New Roman" w:hAnsi="Times New Roman" w:cs="Times New Roman"/>
          <w:sz w:val="24"/>
          <w:szCs w:val="24"/>
        </w:rPr>
        <w:t>”</w:t>
      </w:r>
      <w:r>
        <w:rPr>
          <w:rFonts w:ascii="Times New Roman" w:cs="Times New Roman"/>
          <w:sz w:val="24"/>
          <w:szCs w:val="24"/>
        </w:rPr>
        <w:t>等信息为基础，运用均值</w:t>
      </w:r>
      <w:r>
        <w:rPr>
          <w:rFonts w:ascii="Times New Roman" w:hAnsi="Times New Roman" w:cs="Times New Roman"/>
          <w:sz w:val="24"/>
          <w:szCs w:val="24"/>
        </w:rPr>
        <w:t>/</w:t>
      </w:r>
      <w:r>
        <w:rPr>
          <w:rFonts w:ascii="Times New Roman" w:cs="Times New Roman"/>
          <w:sz w:val="24"/>
          <w:szCs w:val="24"/>
        </w:rPr>
        <w:t>标准差线性等值方法（</w:t>
      </w:r>
      <w:r>
        <w:rPr>
          <w:rFonts w:ascii="Times New Roman" w:hAnsi="Times New Roman" w:cs="Times New Roman"/>
          <w:sz w:val="24"/>
          <w:szCs w:val="24"/>
        </w:rPr>
        <w:t>mean/sigma linear equating</w:t>
      </w:r>
      <w:r>
        <w:rPr>
          <w:rFonts w:ascii="Times New Roman" w:cs="Times New Roman"/>
          <w:sz w:val="24"/>
          <w:szCs w:val="24"/>
        </w:rPr>
        <w:t>）和等百分位等值（</w:t>
      </w:r>
      <w:r>
        <w:rPr>
          <w:rFonts w:ascii="Times New Roman" w:hAnsi="Times New Roman" w:cs="Times New Roman"/>
          <w:sz w:val="24"/>
          <w:szCs w:val="24"/>
        </w:rPr>
        <w:t>equipercentile equating</w:t>
      </w:r>
      <w:r>
        <w:rPr>
          <w:rFonts w:ascii="Times New Roman" w:cs="Times New Roman"/>
          <w:sz w:val="24"/>
          <w:szCs w:val="24"/>
        </w:rPr>
        <w:t>）方法，对高考总分的跨年度等值问题进行探索，期待能为降低增值评价中的风险、确保教育评价质量提供一套简便实用的方案。</w:t>
      </w:r>
    </w:p>
    <w:p>
      <w:pPr>
        <w:spacing w:line="360" w:lineRule="auto"/>
        <w:ind w:firstLine="450"/>
        <w:jc w:val="both"/>
        <w:rPr>
          <w:rFonts w:ascii="Times New Roman" w:hAnsi="Times New Roman" w:cs="Times New Roman"/>
          <w:sz w:val="24"/>
          <w:szCs w:val="24"/>
        </w:rPr>
      </w:pPr>
    </w:p>
    <w:p>
      <w:pPr>
        <w:spacing w:line="360" w:lineRule="auto"/>
        <w:ind w:firstLine="450"/>
        <w:jc w:val="both"/>
        <w:rPr>
          <w:rFonts w:ascii="Times New Roman" w:hAnsi="Times New Roman" w:cs="Times New Roman"/>
          <w:sz w:val="24"/>
          <w:szCs w:val="24"/>
        </w:rPr>
      </w:pPr>
    </w:p>
    <w:p>
      <w:pPr>
        <w:spacing w:line="360" w:lineRule="auto"/>
        <w:ind w:firstLine="450"/>
        <w:jc w:val="center"/>
        <w:rPr>
          <w:rFonts w:ascii="Times New Roman" w:hAnsi="Times New Roman" w:eastAsia="黑体" w:cs="Times New Roman"/>
          <w:sz w:val="24"/>
          <w:szCs w:val="24"/>
        </w:rPr>
      </w:pPr>
      <w:r>
        <w:rPr>
          <w:rFonts w:ascii="Times New Roman" w:hAnsi="黑体" w:eastAsia="黑体" w:cs="Times New Roman"/>
          <w:sz w:val="24"/>
          <w:szCs w:val="24"/>
        </w:rPr>
        <w:t>一、增值评价与测验等值概述</w:t>
      </w:r>
    </w:p>
    <w:p>
      <w:pPr>
        <w:spacing w:line="360" w:lineRule="auto"/>
        <w:ind w:firstLine="450"/>
        <w:jc w:val="center"/>
        <w:rPr>
          <w:rFonts w:ascii="Times New Roman" w:hAnsi="Times New Roman" w:eastAsia="黑体" w:cs="Times New Roman"/>
          <w:sz w:val="24"/>
          <w:szCs w:val="24"/>
        </w:rPr>
      </w:pPr>
    </w:p>
    <w:p>
      <w:pPr>
        <w:spacing w:line="360" w:lineRule="auto"/>
        <w:ind w:firstLine="450"/>
        <w:rPr>
          <w:rFonts w:ascii="Times New Roman" w:hAnsi="Times New Roman" w:eastAsia="楷体" w:cs="Times New Roman"/>
          <w:sz w:val="24"/>
          <w:szCs w:val="24"/>
        </w:rPr>
      </w:pP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一</w:t>
      </w:r>
      <w:r>
        <w:rPr>
          <w:rFonts w:hint="eastAsia" w:ascii="黑体" w:hAnsi="黑体" w:eastAsia="黑体" w:cs="黑体"/>
          <w:sz w:val="24"/>
          <w:szCs w:val="24"/>
          <w:lang w:eastAsia="zh-CN"/>
        </w:rPr>
        <w:t>）</w:t>
      </w:r>
      <w:r>
        <w:rPr>
          <w:rFonts w:hint="eastAsia" w:ascii="黑体" w:hAnsi="黑体" w:eastAsia="黑体" w:cs="黑体"/>
          <w:sz w:val="24"/>
          <w:szCs w:val="24"/>
        </w:rPr>
        <w:t>增值评价</w:t>
      </w:r>
    </w:p>
    <w:p>
      <w:pPr>
        <w:spacing w:line="360" w:lineRule="auto"/>
        <w:ind w:firstLine="450"/>
        <w:jc w:val="both"/>
        <w:rPr>
          <w:rFonts w:ascii="Times New Roman" w:hAnsi="Times New Roman" w:eastAsia="宋体" w:cs="Times New Roman"/>
          <w:sz w:val="24"/>
          <w:szCs w:val="24"/>
          <w:lang w:val="zh-CN"/>
        </w:rPr>
      </w:pPr>
      <w:r>
        <w:rPr>
          <w:rFonts w:ascii="Times New Roman" w:hAnsi="Times New Roman" w:eastAsia="宋体" w:cs="Times New Roman"/>
          <w:sz w:val="24"/>
          <w:szCs w:val="24"/>
        </w:rPr>
        <w:t>常用的增值评价方法主要有7种</w:t>
      </w:r>
      <w:r>
        <w:rPr>
          <w:rStyle w:val="9"/>
          <w:rFonts w:ascii="Times New Roman" w:hAnsi="Times New Roman" w:eastAsia="宋体" w:cs="Times New Roman"/>
          <w:sz w:val="24"/>
          <w:szCs w:val="24"/>
        </w:rPr>
        <w:footnoteReference w:id="1"/>
      </w:r>
      <w:r>
        <w:rPr>
          <w:rStyle w:val="9"/>
          <w:rFonts w:ascii="Times New Roman" w:hAnsi="Times New Roman" w:eastAsia="宋体" w:cs="Times New Roman"/>
          <w:sz w:val="24"/>
          <w:szCs w:val="24"/>
        </w:rPr>
        <w:footnoteReference w:id="2"/>
      </w:r>
      <w:r>
        <w:rPr>
          <w:rFonts w:ascii="Times New Roman" w:hAnsi="Times New Roman" w:eastAsia="宋体" w:cs="Times New Roman"/>
          <w:sz w:val="24"/>
          <w:szCs w:val="24"/>
        </w:rPr>
        <w:t>，它们分别是：</w:t>
      </w:r>
      <w:r>
        <w:rPr>
          <w:rFonts w:ascii="Times New Roman" w:hAnsi="Times New Roman" w:eastAsia="宋体" w:cs="Times New Roman"/>
          <w:sz w:val="24"/>
          <w:szCs w:val="24"/>
        </w:rPr>
        <w:fldChar w:fldCharType="begin"/>
      </w:r>
      <w:r>
        <w:rPr>
          <w:rFonts w:ascii="Times New Roman" w:hAnsi="Times New Roman" w:eastAsia="宋体" w:cs="Times New Roman"/>
          <w:sz w:val="24"/>
          <w:szCs w:val="24"/>
        </w:rPr>
        <w:instrText xml:space="preserve"> </w:instrText>
      </w:r>
      <w:r>
        <w:rPr>
          <w:rFonts w:hint="eastAsia" w:ascii="Times New Roman" w:hAnsi="Times New Roman" w:eastAsia="宋体" w:cs="Times New Roman"/>
          <w:sz w:val="24"/>
          <w:szCs w:val="24"/>
        </w:rPr>
        <w:instrText xml:space="preserve">= 1 \* GB3</w:instrText>
      </w:r>
      <w:r>
        <w:rPr>
          <w:rFonts w:ascii="Times New Roman" w:hAnsi="Times New Roman" w:eastAsia="宋体" w:cs="Times New Roman"/>
          <w:sz w:val="24"/>
          <w:szCs w:val="24"/>
        </w:rPr>
        <w:instrText xml:space="preserve"> </w:instrText>
      </w:r>
      <w:r>
        <w:rPr>
          <w:rFonts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t>①</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增分模型（gain score）；</w:t>
      </w:r>
      <w:r>
        <w:rPr>
          <w:rFonts w:ascii="Times New Roman" w:hAnsi="Times New Roman" w:eastAsia="宋体" w:cs="Times New Roman"/>
          <w:sz w:val="24"/>
          <w:szCs w:val="24"/>
        </w:rPr>
        <w:fldChar w:fldCharType="begin"/>
      </w:r>
      <w:r>
        <w:rPr>
          <w:rFonts w:ascii="Times New Roman" w:hAnsi="Times New Roman" w:eastAsia="宋体" w:cs="Times New Roman"/>
          <w:sz w:val="24"/>
          <w:szCs w:val="24"/>
        </w:rPr>
        <w:instrText xml:space="preserve"> </w:instrText>
      </w:r>
      <w:r>
        <w:rPr>
          <w:rFonts w:hint="eastAsia" w:ascii="Times New Roman" w:hAnsi="Times New Roman" w:eastAsia="宋体" w:cs="Times New Roman"/>
          <w:sz w:val="24"/>
          <w:szCs w:val="24"/>
        </w:rPr>
        <w:instrText xml:space="preserve">= 2 \* GB3</w:instrText>
      </w:r>
      <w:r>
        <w:rPr>
          <w:rFonts w:ascii="Times New Roman" w:hAnsi="Times New Roman" w:eastAsia="宋体" w:cs="Times New Roman"/>
          <w:sz w:val="24"/>
          <w:szCs w:val="24"/>
        </w:rPr>
        <w:instrText xml:space="preserve"> </w:instrText>
      </w:r>
      <w:r>
        <w:rPr>
          <w:rFonts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t>②</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轨道模型（trajectory model）；</w:t>
      </w:r>
      <w:r>
        <w:rPr>
          <w:rFonts w:ascii="Times New Roman" w:hAnsi="宋体" w:eastAsia="宋体" w:cs="Times New Roman"/>
          <w:sz w:val="24"/>
          <w:szCs w:val="24"/>
        </w:rPr>
        <w:t>③</w:t>
      </w:r>
      <w:r>
        <w:rPr>
          <w:rFonts w:ascii="Times New Roman" w:hAnsi="Times New Roman" w:eastAsia="宋体" w:cs="Times New Roman"/>
          <w:sz w:val="24"/>
          <w:szCs w:val="24"/>
        </w:rPr>
        <w:t>分类模型（categorical model）；</w:t>
      </w:r>
      <w:r>
        <w:rPr>
          <w:rFonts w:ascii="Times New Roman" w:hAnsi="宋体" w:eastAsia="宋体" w:cs="Times New Roman"/>
          <w:sz w:val="24"/>
          <w:szCs w:val="24"/>
        </w:rPr>
        <w:t>④</w:t>
      </w:r>
      <w:r>
        <w:rPr>
          <w:rFonts w:ascii="Times New Roman" w:hAnsi="Times New Roman" w:eastAsia="宋体" w:cs="Times New Roman"/>
          <w:sz w:val="24"/>
          <w:szCs w:val="24"/>
        </w:rPr>
        <w:t xml:space="preserve">残差模型（residual  model）； </w:t>
      </w:r>
      <w:r>
        <w:rPr>
          <w:rFonts w:ascii="Times New Roman" w:hAnsi="宋体" w:eastAsia="宋体" w:cs="Times New Roman"/>
          <w:sz w:val="24"/>
          <w:szCs w:val="24"/>
        </w:rPr>
        <w:t>⑤</w:t>
      </w:r>
      <w:r>
        <w:rPr>
          <w:rFonts w:ascii="Times New Roman" w:hAnsi="Times New Roman" w:eastAsia="宋体" w:cs="Times New Roman"/>
          <w:sz w:val="24"/>
          <w:szCs w:val="24"/>
        </w:rPr>
        <w:t>投射模型（projection model）；</w:t>
      </w:r>
      <w:r>
        <w:rPr>
          <w:rFonts w:ascii="Times New Roman" w:hAnsi="宋体" w:eastAsia="宋体" w:cs="Times New Roman"/>
          <w:sz w:val="24"/>
          <w:szCs w:val="24"/>
        </w:rPr>
        <w:t>⑥</w:t>
      </w:r>
      <w:r>
        <w:rPr>
          <w:rFonts w:ascii="Times New Roman" w:hAnsi="Times New Roman" w:eastAsia="宋体" w:cs="Times New Roman"/>
          <w:sz w:val="24"/>
          <w:szCs w:val="24"/>
        </w:rPr>
        <w:t>学生成长百分位（student growth percentile，SGP）模型；</w:t>
      </w:r>
      <w:r>
        <w:rPr>
          <w:rFonts w:ascii="Times New Roman" w:hAnsi="宋体" w:eastAsia="宋体" w:cs="Times New Roman"/>
          <w:sz w:val="24"/>
          <w:szCs w:val="24"/>
        </w:rPr>
        <w:t>⑦</w:t>
      </w:r>
      <w:r>
        <w:rPr>
          <w:rFonts w:ascii="Times New Roman" w:hAnsi="Times New Roman" w:eastAsia="宋体" w:cs="Times New Roman"/>
          <w:sz w:val="24"/>
          <w:szCs w:val="24"/>
        </w:rPr>
        <w:t>多变量模型，如多层次线性回归模型（hierarchical linear model，HLM）等。</w:t>
      </w:r>
      <w:r>
        <w:rPr>
          <w:rFonts w:ascii="Times New Roman" w:hAnsi="Times New Roman" w:eastAsia="宋体" w:cs="Times New Roman"/>
          <w:sz w:val="24"/>
          <w:szCs w:val="24"/>
          <w:lang w:val="zh-CN"/>
        </w:rPr>
        <w:t>其中</w:t>
      </w:r>
      <w:r>
        <w:rPr>
          <w:rFonts w:ascii="Times New Roman" w:hAnsi="Times New Roman" w:eastAsia="宋体" w:cs="Times New Roman"/>
          <w:sz w:val="24"/>
          <w:szCs w:val="24"/>
        </w:rPr>
        <w:t>，</w:t>
      </w:r>
      <w:r>
        <w:rPr>
          <w:rFonts w:ascii="Times New Roman" w:hAnsi="宋体" w:eastAsia="宋体" w:cs="Times New Roman"/>
          <w:sz w:val="24"/>
          <w:szCs w:val="24"/>
        </w:rPr>
        <w:t>①</w:t>
      </w:r>
      <w:r>
        <w:rPr>
          <w:rFonts w:ascii="Times New Roman" w:hAnsi="Times New Roman" w:eastAsia="宋体" w:cs="Times New Roman"/>
          <w:sz w:val="24"/>
          <w:szCs w:val="24"/>
        </w:rPr>
        <w:t>~</w:t>
      </w:r>
      <w:r>
        <w:rPr>
          <w:rFonts w:ascii="Times New Roman" w:hAnsi="宋体" w:eastAsia="宋体" w:cs="Times New Roman"/>
          <w:sz w:val="24"/>
          <w:szCs w:val="24"/>
        </w:rPr>
        <w:t>③</w:t>
      </w:r>
      <w:r>
        <w:rPr>
          <w:rFonts w:ascii="Times New Roman" w:hAnsi="Times New Roman" w:eastAsia="宋体" w:cs="Times New Roman"/>
          <w:sz w:val="24"/>
          <w:szCs w:val="24"/>
          <w:lang w:val="zh-CN"/>
        </w:rPr>
        <w:t>的前提条件之一是多次考试的分数必须被表达在一个共同的分数度量系统之上</w:t>
      </w:r>
      <w:r>
        <w:rPr>
          <w:rFonts w:ascii="Times New Roman" w:hAnsi="Times New Roman" w:eastAsia="宋体" w:cs="Times New Roman"/>
          <w:sz w:val="24"/>
          <w:szCs w:val="24"/>
        </w:rPr>
        <w:t>，</w:t>
      </w:r>
      <w:r>
        <w:rPr>
          <w:rFonts w:ascii="Times New Roman" w:hAnsi="Times New Roman" w:eastAsia="宋体" w:cs="Times New Roman"/>
          <w:sz w:val="24"/>
          <w:szCs w:val="24"/>
          <w:lang w:val="zh-CN"/>
        </w:rPr>
        <w:t>即多次测试的分数必须具有相同的零点和相同的计量单位（测验分数必须等值）。</w:t>
      </w:r>
      <w:r>
        <w:rPr>
          <w:rFonts w:ascii="Times New Roman" w:hAnsi="宋体" w:eastAsia="宋体" w:cs="Times New Roman"/>
          <w:sz w:val="24"/>
          <w:szCs w:val="24"/>
          <w:lang w:val="zh-CN"/>
        </w:rPr>
        <w:t>④</w:t>
      </w:r>
      <w:r>
        <w:rPr>
          <w:rFonts w:ascii="Times New Roman" w:hAnsi="Times New Roman" w:eastAsia="宋体" w:cs="Times New Roman"/>
          <w:sz w:val="24"/>
          <w:szCs w:val="24"/>
          <w:lang w:val="zh-CN"/>
        </w:rPr>
        <w:t>、</w:t>
      </w:r>
      <w:r>
        <w:rPr>
          <w:rFonts w:ascii="Times New Roman" w:hAnsi="宋体" w:eastAsia="宋体" w:cs="Times New Roman"/>
          <w:sz w:val="24"/>
          <w:szCs w:val="24"/>
          <w:lang w:val="zh-CN"/>
        </w:rPr>
        <w:t>⑤</w:t>
      </w:r>
      <w:r>
        <w:rPr>
          <w:rFonts w:ascii="Times New Roman" w:hAnsi="Times New Roman" w:eastAsia="宋体" w:cs="Times New Roman"/>
          <w:sz w:val="24"/>
          <w:szCs w:val="24"/>
          <w:lang w:val="zh-CN"/>
        </w:rPr>
        <w:t>是以回归分析为基础的方法，不同考试之间的分数不必等值。</w:t>
      </w:r>
      <w:r>
        <w:rPr>
          <w:rFonts w:ascii="Times New Roman" w:hAnsi="宋体" w:eastAsia="宋体" w:cs="Times New Roman"/>
          <w:sz w:val="24"/>
          <w:szCs w:val="24"/>
          <w:lang w:val="zh-CN"/>
        </w:rPr>
        <w:t>⑥</w:t>
      </w:r>
      <w:r>
        <w:rPr>
          <w:rFonts w:ascii="Times New Roman" w:hAnsi="Times New Roman" w:eastAsia="宋体" w:cs="Times New Roman"/>
          <w:sz w:val="24"/>
          <w:szCs w:val="24"/>
          <w:lang w:val="zh-CN"/>
        </w:rPr>
        <w:t>主要考察相同基础的学生在相应群体中的排位是否有进步的方法，其所用的测验分数也不必等值。</w:t>
      </w:r>
      <w:r>
        <w:rPr>
          <w:rFonts w:ascii="Times New Roman" w:hAnsi="宋体" w:eastAsia="宋体" w:cs="Times New Roman"/>
          <w:sz w:val="24"/>
          <w:szCs w:val="24"/>
          <w:lang w:val="zh-CN"/>
        </w:rPr>
        <w:t>⑦</w:t>
      </w:r>
      <w:r>
        <w:rPr>
          <w:rFonts w:ascii="Times New Roman" w:hAnsi="Times New Roman" w:eastAsia="宋体" w:cs="Times New Roman"/>
          <w:sz w:val="24"/>
          <w:szCs w:val="24"/>
          <w:lang w:val="zh-CN"/>
        </w:rPr>
        <w:t>所要求的前提条件比较复杂，不同的模型（如HLM）一般要求满足不同的前提条件。</w:t>
      </w:r>
    </w:p>
    <w:p>
      <w:pPr>
        <w:spacing w:line="360" w:lineRule="auto"/>
        <w:ind w:firstLine="450"/>
        <w:jc w:val="both"/>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r>
        <w:rPr>
          <w:rFonts w:hint="eastAsia" w:ascii="楷体" w:hAnsi="楷体" w:eastAsia="楷体" w:cs="楷体"/>
          <w:sz w:val="24"/>
          <w:szCs w:val="24"/>
          <w:lang w:val="zh-CN"/>
        </w:rPr>
        <w:t>前三种增值评价</w:t>
      </w:r>
    </w:p>
    <w:p>
      <w:pPr>
        <w:spacing w:line="360" w:lineRule="auto"/>
        <w:ind w:firstLine="450"/>
        <w:rPr>
          <w:rFonts w:ascii="Times New Roman" w:hAnsi="Times New Roman" w:cs="Times New Roman"/>
          <w:sz w:val="24"/>
          <w:szCs w:val="24"/>
        </w:rPr>
      </w:pPr>
      <w:r>
        <w:rPr>
          <w:rFonts w:ascii="Times New Roman" w:hAnsi="Times New Roman" w:eastAsia="宋体" w:cs="Times New Roman"/>
          <w:sz w:val="24"/>
          <w:szCs w:val="24"/>
          <w:lang w:val="zh-CN"/>
        </w:rPr>
        <w:t>由于我国大众偏爱直接比较跨年度的高考分数，因此以下重点讨论前三种增值评价方法及其使用的前提条件。具体地，</w:t>
      </w:r>
      <w:r>
        <w:rPr>
          <w:rFonts w:ascii="Times New Roman" w:hAnsi="Times New Roman" w:eastAsia="宋体" w:cs="Times New Roman"/>
          <w:sz w:val="24"/>
          <w:szCs w:val="24"/>
        </w:rPr>
        <w:t>增分模型指的是</w:t>
      </w:r>
      <w:r>
        <w:rPr>
          <w:rFonts w:ascii="Times New Roman" w:hAnsi="Times New Roman" w:eastAsia="宋体" w:cs="Times New Roman"/>
          <w:bCs/>
          <w:sz w:val="24"/>
          <w:szCs w:val="24"/>
        </w:rPr>
        <w:t>用个体或群体学习一段时间之后的成绩减去学习之初成绩的增值评价</w:t>
      </w:r>
      <w:r>
        <w:rPr>
          <w:rFonts w:ascii="Times New Roman" w:hAnsi="Times New Roman" w:eastAsia="宋体" w:cs="Times New Roman"/>
          <w:sz w:val="24"/>
          <w:szCs w:val="24"/>
        </w:rPr>
        <w:t>；轨道模型指的是根据群体成长轨迹判断个体或群体是否超常的增值评价；分类模型指的是个体在代表性群体中所处等级是否提升的增值评价。要用好这三种模型</w:t>
      </w:r>
      <w:r>
        <w:rPr>
          <w:rFonts w:ascii="Times New Roman" w:hAnsi="Times New Roman" w:cs="Times New Roman"/>
          <w:sz w:val="24"/>
          <w:szCs w:val="24"/>
        </w:rPr>
        <w:t>，多次测评的分数就必须等值，否则就可能做出错误的不公平的增值评价。</w:t>
      </w:r>
    </w:p>
    <w:p>
      <w:pPr>
        <w:numPr>
          <w:ilvl w:val="0"/>
          <w:numId w:val="1"/>
        </w:numPr>
        <w:spacing w:line="360" w:lineRule="auto"/>
        <w:ind w:firstLine="450"/>
        <w:rPr>
          <w:rFonts w:hint="eastAsia" w:ascii="Times New Roman" w:hAnsi="Times New Roman" w:eastAsia="宋体" w:cs="Times New Roman"/>
          <w:bCs/>
          <w:sz w:val="24"/>
          <w:szCs w:val="24"/>
          <w:lang w:eastAsia="zh-CN"/>
        </w:rPr>
      </w:pPr>
      <w:r>
        <w:rPr>
          <w:rFonts w:ascii="Times New Roman" w:hAnsi="Times New Roman" w:eastAsia="宋体" w:cs="Times New Roman"/>
          <w:sz w:val="24"/>
          <w:szCs w:val="24"/>
        </w:rPr>
        <w:t>增分模型指的是</w:t>
      </w:r>
      <w:r>
        <w:rPr>
          <w:rFonts w:ascii="Times New Roman" w:hAnsi="Times New Roman" w:eastAsia="宋体" w:cs="Times New Roman"/>
          <w:bCs/>
          <w:sz w:val="24"/>
          <w:szCs w:val="24"/>
        </w:rPr>
        <w:t>用个体或群体学习一段时间之后的成绩减去学习之初成绩的增值评价</w:t>
      </w:r>
      <w:r>
        <w:rPr>
          <w:rFonts w:hint="eastAsia" w:ascii="Times New Roman" w:hAnsi="Times New Roman" w:eastAsia="宋体" w:cs="Times New Roman"/>
          <w:bCs/>
          <w:sz w:val="24"/>
          <w:szCs w:val="24"/>
          <w:lang w:eastAsia="zh-CN"/>
        </w:rPr>
        <w:t>。</w:t>
      </w:r>
      <w:r>
        <w:rPr>
          <w:rFonts w:ascii="Times New Roman" w:hAnsi="Times New Roman" w:eastAsia="宋体" w:cs="Times New Roman"/>
          <w:sz w:val="24"/>
          <w:szCs w:val="24"/>
        </w:rPr>
        <w:t>要用好这三种模型</w:t>
      </w:r>
      <w:r>
        <w:rPr>
          <w:rFonts w:ascii="Times New Roman" w:hAnsi="Times New Roman" w:cs="Times New Roman"/>
          <w:sz w:val="24"/>
          <w:szCs w:val="24"/>
        </w:rPr>
        <w:t>，多次测评的分数就必须等值，否则就可能做出错误的不公平的增值评价。</w:t>
      </w:r>
    </w:p>
    <w:p>
      <w:pPr>
        <w:numPr>
          <w:ilvl w:val="0"/>
          <w:numId w:val="1"/>
        </w:numPr>
        <w:spacing w:line="360" w:lineRule="auto"/>
        <w:ind w:firstLine="450"/>
        <w:rPr>
          <w:rFonts w:hint="eastAsia" w:ascii="Times New Roman" w:hAnsi="Times New Roman" w:cs="Times New Roman" w:eastAsiaTheme="minorEastAsia"/>
          <w:sz w:val="24"/>
          <w:szCs w:val="24"/>
          <w:lang w:eastAsia="zh-CN"/>
        </w:rPr>
      </w:pPr>
      <w:r>
        <w:rPr>
          <w:rFonts w:ascii="Times New Roman" w:hAnsi="Times New Roman" w:eastAsia="宋体" w:cs="Times New Roman"/>
          <w:sz w:val="24"/>
          <w:szCs w:val="24"/>
        </w:rPr>
        <w:t>轨道模型指的是根据群体成长轨迹判断个体或群体是否超常的增值评价</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rPr>
        <w:t>要用好这三种模型</w:t>
      </w:r>
      <w:r>
        <w:rPr>
          <w:rFonts w:ascii="Times New Roman" w:hAnsi="Times New Roman" w:cs="Times New Roman"/>
          <w:sz w:val="24"/>
          <w:szCs w:val="24"/>
        </w:rPr>
        <w:t>，多次测评的分数就必须等值，否则就可能做出错误的不公平的增值评价。</w:t>
      </w:r>
    </w:p>
    <w:p>
      <w:pPr>
        <w:numPr>
          <w:ilvl w:val="0"/>
          <w:numId w:val="1"/>
        </w:numPr>
        <w:spacing w:line="360" w:lineRule="auto"/>
        <w:ind w:firstLine="450"/>
        <w:rPr>
          <w:rFonts w:ascii="Times New Roman" w:hAnsi="Times New Roman" w:cs="Times New Roman"/>
          <w:sz w:val="24"/>
          <w:szCs w:val="24"/>
        </w:rPr>
      </w:pPr>
      <w:r>
        <w:rPr>
          <w:rFonts w:ascii="Times New Roman" w:hAnsi="Times New Roman" w:eastAsia="宋体" w:cs="Times New Roman"/>
          <w:sz w:val="24"/>
          <w:szCs w:val="24"/>
        </w:rPr>
        <w:t>分类模型指的是个体在代表性群体中所处等级是否提升的增值评价。要用好这三种模型</w:t>
      </w:r>
      <w:r>
        <w:rPr>
          <w:rFonts w:ascii="Times New Roman" w:hAnsi="Times New Roman" w:cs="Times New Roman"/>
          <w:sz w:val="24"/>
          <w:szCs w:val="24"/>
        </w:rPr>
        <w:t>，多次测评的分数就必须等值，否则就可能做出错误的不公平的增值评价。</w:t>
      </w:r>
    </w:p>
    <w:p>
      <w:pPr>
        <w:numPr>
          <w:ilvl w:val="0"/>
          <w:numId w:val="2"/>
        </w:numPr>
        <w:spacing w:line="360" w:lineRule="auto"/>
        <w:ind w:firstLine="450"/>
        <w:rPr>
          <w:rFonts w:hint="eastAsia" w:ascii="楷体" w:hAnsi="楷体" w:eastAsia="楷体" w:cs="楷体"/>
          <w:sz w:val="24"/>
          <w:szCs w:val="24"/>
          <w:lang w:val="zh-CN"/>
        </w:rPr>
      </w:pPr>
      <w:r>
        <w:rPr>
          <w:rFonts w:hint="eastAsia" w:ascii="楷体" w:hAnsi="楷体" w:eastAsia="楷体" w:cs="楷体"/>
          <w:sz w:val="24"/>
          <w:szCs w:val="24"/>
          <w:lang w:val="en-US" w:eastAsia="zh-CN"/>
        </w:rPr>
        <w:t>后四</w:t>
      </w:r>
      <w:r>
        <w:rPr>
          <w:rFonts w:hint="eastAsia" w:ascii="楷体" w:hAnsi="楷体" w:eastAsia="楷体" w:cs="楷体"/>
          <w:sz w:val="24"/>
          <w:szCs w:val="24"/>
          <w:lang w:val="zh-CN"/>
        </w:rPr>
        <w:t>种增值评价</w:t>
      </w:r>
    </w:p>
    <w:p>
      <w:pPr>
        <w:numPr>
          <w:numId w:val="0"/>
        </w:numPr>
        <w:spacing w:line="360" w:lineRule="auto"/>
        <w:ind w:firstLine="480" w:firstLineChars="200"/>
        <w:rPr>
          <w:rFonts w:hint="eastAsia" w:ascii="楷体" w:hAnsi="楷体" w:eastAsia="楷体" w:cs="楷体"/>
          <w:sz w:val="24"/>
          <w:szCs w:val="24"/>
          <w:lang w:val="en-US" w:eastAsia="zh-CN"/>
        </w:rPr>
      </w:pPr>
      <w:r>
        <w:rPr>
          <w:rFonts w:ascii="Times New Roman" w:hAnsi="Times New Roman" w:eastAsia="宋体" w:cs="Times New Roman"/>
          <w:sz w:val="24"/>
          <w:szCs w:val="24"/>
          <w:lang w:val="zh-CN"/>
        </w:rPr>
        <w:t>由于我国大众偏爱直接比较跨年度的高考分数，因此以下重点讨论前三种增值评价方法及其使用的前提条件。具体地，</w:t>
      </w:r>
      <w:r>
        <w:rPr>
          <w:rFonts w:ascii="Times New Roman" w:hAnsi="Times New Roman" w:eastAsia="宋体" w:cs="Times New Roman"/>
          <w:sz w:val="24"/>
          <w:szCs w:val="24"/>
        </w:rPr>
        <w:t>增分模型指的是</w:t>
      </w:r>
      <w:r>
        <w:rPr>
          <w:rFonts w:ascii="Times New Roman" w:hAnsi="Times New Roman" w:eastAsia="宋体" w:cs="Times New Roman"/>
          <w:bCs/>
          <w:sz w:val="24"/>
          <w:szCs w:val="24"/>
        </w:rPr>
        <w:t>用个体或群体学习一段时间之后的成绩减去学习之初成绩的增值评价</w:t>
      </w:r>
      <w:r>
        <w:rPr>
          <w:rFonts w:ascii="Times New Roman" w:hAnsi="Times New Roman" w:eastAsia="宋体" w:cs="Times New Roman"/>
          <w:sz w:val="24"/>
          <w:szCs w:val="24"/>
        </w:rPr>
        <w:t>；轨道模型指的是根据群体成长轨迹判断个体或群体是否超常的增值评价；分类模型指的是个体在代表性群体中所处等级是否提升的增值评价。要用好这三种模型</w:t>
      </w:r>
      <w:r>
        <w:rPr>
          <w:rFonts w:ascii="Times New Roman" w:hAnsi="Times New Roman" w:cs="Times New Roman"/>
          <w:sz w:val="24"/>
          <w:szCs w:val="24"/>
        </w:rPr>
        <w:t>，多次测评的分数就必须等值，否则就可能做出错误的不公平的增值评价。</w:t>
      </w:r>
    </w:p>
    <w:p>
      <w:pPr>
        <w:spacing w:line="360" w:lineRule="auto"/>
        <w:ind w:firstLine="450"/>
        <w:rPr>
          <w:rFonts w:ascii="Times New Roman" w:hAnsi="Times New Roman" w:eastAsia="楷体" w:cs="Times New Roman"/>
          <w:sz w:val="24"/>
          <w:szCs w:val="24"/>
        </w:rPr>
      </w:pPr>
      <w:r>
        <w:rPr>
          <w:rFonts w:hint="eastAsia" w:ascii="黑体" w:hAnsi="黑体" w:eastAsia="黑体" w:cs="黑体"/>
          <w:sz w:val="24"/>
          <w:szCs w:val="24"/>
          <w:lang w:eastAsia="zh-CN"/>
        </w:rPr>
        <w:t>（</w:t>
      </w:r>
      <w:r>
        <w:rPr>
          <w:rFonts w:hint="eastAsia" w:ascii="黑体" w:hAnsi="黑体" w:eastAsia="黑体" w:cs="黑体"/>
          <w:sz w:val="24"/>
          <w:szCs w:val="24"/>
          <w:lang w:val="en-US" w:eastAsia="zh-CN"/>
        </w:rPr>
        <w:t>二</w:t>
      </w:r>
      <w:r>
        <w:rPr>
          <w:rFonts w:hint="eastAsia" w:ascii="黑体" w:hAnsi="黑体" w:eastAsia="黑体" w:cs="黑体"/>
          <w:sz w:val="24"/>
          <w:szCs w:val="24"/>
          <w:lang w:eastAsia="zh-CN"/>
        </w:rPr>
        <w:t>）测验等值</w:t>
      </w:r>
    </w:p>
    <w:p>
      <w:pPr>
        <w:spacing w:line="360" w:lineRule="auto"/>
        <w:ind w:firstLine="450"/>
        <w:jc w:val="both"/>
        <w:rPr>
          <w:rFonts w:ascii="Times New Roman" w:hAnsi="Times New Roman" w:cs="Times New Roman"/>
          <w:sz w:val="24"/>
          <w:szCs w:val="24"/>
        </w:rPr>
        <w:sectPr>
          <w:footerReference r:id="rId5" w:type="default"/>
          <w:footnotePr>
            <w:numFmt w:val="decimalEnclosedCircle"/>
            <w:numRestart w:val="eachPage"/>
          </w:footnotePr>
          <w:pgSz w:w="12240" w:h="15840"/>
          <w:pgMar w:top="1440" w:right="1440" w:bottom="1440" w:left="1440" w:header="720" w:footer="720" w:gutter="0"/>
          <w:cols w:space="720" w:num="1"/>
          <w:docGrid w:linePitch="360" w:charSpace="0"/>
        </w:sectPr>
      </w:pPr>
    </w:p>
    <w:p>
      <w:pPr>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测验等值</w:t>
      </w:r>
      <w:r>
        <w:rPr>
          <w:rFonts w:ascii="Times New Roman" w:hAnsi="Times New Roman" w:cs="Times New Roman"/>
          <w:sz w:val="24"/>
          <w:szCs w:val="24"/>
          <w:vertAlign w:val="superscript"/>
        </w:rPr>
        <w:footnoteReference w:id="3"/>
      </w:r>
      <w:r>
        <w:rPr>
          <w:rFonts w:ascii="Times New Roman" w:hAnsi="Times New Roman" w:cs="Times New Roman"/>
          <w:sz w:val="24"/>
          <w:szCs w:val="24"/>
          <w:vertAlign w:val="superscript"/>
        </w:rPr>
        <w:footnoteReference w:id="4"/>
      </w:r>
      <w:r>
        <w:rPr>
          <w:rFonts w:ascii="Times New Roman" w:hAnsi="Times New Roman" w:cs="Times New Roman"/>
          <w:sz w:val="24"/>
          <w:szCs w:val="24"/>
          <w:vertAlign w:val="superscript"/>
        </w:rPr>
        <w:footnoteReference w:id="5"/>
      </w:r>
      <w:r>
        <w:rPr>
          <w:rFonts w:ascii="Times New Roman" w:hAnsi="Times New Roman" w:cs="Times New Roman"/>
          <w:sz w:val="24"/>
          <w:szCs w:val="24"/>
        </w:rPr>
        <w:t>指的是把考生在新测验（new form）上所得的卷面原始分数（raw score），首先转换成标杆试卷（reference-form or base-form）上的等值原始分数，然后利用标杆试卷上原始分数与某种具有特定含义的量表分数（scaled score）或等级之间的关系（常模，norms），推导出新测验的原始分数与量表分数或等级之间的转换关系（等值，equating）的一系列过程。这个过程包括两个步骤，其一是根据代表性样本对标杆试卷建立常模；其二是把新测验的原始分数转换成基于标杆试卷常模基础上的量表分数。</w:t>
      </w:r>
    </w:p>
    <w:p>
      <w:pPr>
        <w:spacing w:line="360" w:lineRule="auto"/>
        <w:ind w:firstLine="450"/>
        <w:jc w:val="both"/>
        <w:rPr>
          <w:rFonts w:ascii="Times New Roman" w:hAnsi="Times New Roman" w:cs="Times New Roman"/>
          <w:sz w:val="24"/>
          <w:szCs w:val="24"/>
        </w:rPr>
      </w:pPr>
      <w:r>
        <w:rPr>
          <w:rFonts w:ascii="Times New Roman" w:hAnsi="Times New Roman" w:cs="Times New Roman"/>
          <w:sz w:val="24"/>
          <w:szCs w:val="24"/>
        </w:rPr>
        <w:t>实现测验等值必须满足以下7个前提条件</w:t>
      </w:r>
      <w:r>
        <w:rPr>
          <w:rStyle w:val="9"/>
          <w:rFonts w:ascii="Times New Roman" w:hAnsi="Times New Roman" w:cs="Times New Roman"/>
          <w:sz w:val="24"/>
          <w:szCs w:val="24"/>
        </w:rPr>
        <w:footnoteReference w:id="6"/>
      </w:r>
      <w:r>
        <w:rPr>
          <w:rFonts w:ascii="Times New Roman" w:hAnsi="Times New Roman" w:cs="Times New Roman"/>
          <w:sz w:val="24"/>
          <w:szCs w:val="24"/>
        </w:rPr>
        <w:t>。</w:t>
      </w:r>
      <w:r>
        <w:rPr>
          <w:rFonts w:ascii="Times New Roman" w:hAnsi="宋体" w:eastAsia="宋体" w:cs="Times New Roman"/>
          <w:sz w:val="24"/>
          <w:szCs w:val="24"/>
        </w:rPr>
        <w:t>①</w:t>
      </w:r>
      <w:r>
        <w:rPr>
          <w:rFonts w:ascii="Times New Roman" w:hAnsi="Times New Roman" w:cs="Times New Roman"/>
          <w:sz w:val="24"/>
          <w:szCs w:val="24"/>
        </w:rPr>
        <w:t>新测验与标杆试卷必须测量相同的内容或结构；</w:t>
      </w:r>
      <w:r>
        <w:rPr>
          <w:rFonts w:ascii="Times New Roman" w:hAnsi="宋体" w:eastAsia="宋体" w:cs="Times New Roman"/>
          <w:sz w:val="24"/>
          <w:szCs w:val="24"/>
        </w:rPr>
        <w:t>②</w:t>
      </w:r>
      <w:r>
        <w:rPr>
          <w:rFonts w:ascii="Times New Roman" w:hAnsi="Times New Roman" w:cs="Times New Roman"/>
          <w:sz w:val="24"/>
          <w:szCs w:val="24"/>
        </w:rPr>
        <w:t>新测验与标杆试卷必须具有相同或非常接近的测量信度；</w:t>
      </w:r>
      <w:r>
        <w:rPr>
          <w:rFonts w:ascii="Times New Roman" w:hAnsi="宋体" w:eastAsia="宋体" w:cs="Times New Roman"/>
          <w:sz w:val="24"/>
          <w:szCs w:val="24"/>
        </w:rPr>
        <w:t>③</w:t>
      </w:r>
      <w:r>
        <w:rPr>
          <w:rFonts w:ascii="Times New Roman" w:hAnsi="Times New Roman" w:cs="Times New Roman"/>
          <w:sz w:val="24"/>
          <w:szCs w:val="24"/>
        </w:rPr>
        <w:t>新测验与标杆试卷之间的分数具有对称关系；</w:t>
      </w:r>
      <w:r>
        <w:rPr>
          <w:rFonts w:ascii="Times New Roman" w:cs="Times New Roman" w:hAnsiTheme="minorEastAsia"/>
          <w:sz w:val="24"/>
          <w:szCs w:val="24"/>
        </w:rPr>
        <w:t>④</w:t>
      </w:r>
      <w:r>
        <w:rPr>
          <w:rFonts w:ascii="Times New Roman" w:hAnsi="Times New Roman" w:cs="Times New Roman"/>
          <w:sz w:val="24"/>
          <w:szCs w:val="24"/>
        </w:rPr>
        <w:t>考生选考任何一次测验所得量表分数必须是等价公平的；</w:t>
      </w:r>
      <w:r>
        <w:rPr>
          <w:rFonts w:ascii="Times New Roman" w:hAnsi="宋体" w:eastAsia="宋体" w:cs="Times New Roman"/>
          <w:sz w:val="24"/>
          <w:szCs w:val="24"/>
        </w:rPr>
        <w:t>⑤</w:t>
      </w:r>
      <w:r>
        <w:rPr>
          <w:rFonts w:ascii="Times New Roman" w:hAnsi="Times New Roman" w:cs="Times New Roman"/>
          <w:sz w:val="24"/>
          <w:szCs w:val="24"/>
        </w:rPr>
        <w:t>等值关系在同一个总体上是不变的；</w:t>
      </w:r>
      <w:r>
        <w:rPr>
          <w:rFonts w:ascii="Times New Roman" w:hAnsi="宋体" w:eastAsia="宋体" w:cs="Times New Roman"/>
          <w:sz w:val="24"/>
          <w:szCs w:val="24"/>
        </w:rPr>
        <w:t>⑥</w:t>
      </w:r>
      <w:r>
        <w:rPr>
          <w:rFonts w:ascii="Times New Roman" w:hAnsi="Times New Roman" w:cs="Times New Roman"/>
          <w:sz w:val="24"/>
          <w:szCs w:val="24"/>
        </w:rPr>
        <w:t>等值样本的能力分布与考生总体的能力分布非常接近；</w:t>
      </w:r>
      <w:r>
        <w:rPr>
          <w:rFonts w:ascii="Times New Roman" w:hAnsi="宋体" w:eastAsia="宋体" w:cs="Times New Roman"/>
          <w:sz w:val="24"/>
          <w:szCs w:val="24"/>
        </w:rPr>
        <w:t>⑦</w:t>
      </w:r>
      <w:r>
        <w:rPr>
          <w:rFonts w:ascii="Times New Roman" w:hAnsi="Times New Roman" w:cs="Times New Roman"/>
          <w:sz w:val="24"/>
          <w:szCs w:val="24"/>
        </w:rPr>
        <w:t>等值设计中的锚测验必须与标杆试卷完全一致。</w:t>
      </w:r>
    </w:p>
    <w:p>
      <w:pPr>
        <w:spacing w:line="360" w:lineRule="auto"/>
        <w:ind w:firstLine="450"/>
        <w:jc w:val="both"/>
        <w:rPr>
          <w:rFonts w:ascii="Times New Roman" w:hAnsi="Times New Roman" w:cs="Times New Roman"/>
          <w:sz w:val="24"/>
          <w:szCs w:val="24"/>
        </w:rPr>
      </w:pPr>
      <w:r>
        <w:rPr>
          <w:rFonts w:ascii="Times New Roman" w:hAnsi="Times New Roman" w:eastAsia="宋体" w:cs="Times New Roman"/>
          <w:sz w:val="24"/>
          <w:szCs w:val="24"/>
        </w:rPr>
        <w:t>由于目前公开的高考数据主要是每年的高考总分“一分一段分数表”，即各省/市/区的文科和理科总分的频数分布表，所以使用等百分位等值方法实施测验等值比较方便。所谓</w:t>
      </w:r>
      <w:r>
        <w:rPr>
          <w:rFonts w:ascii="Times New Roman" w:hAnsi="Times New Roman" w:cs="Times New Roman"/>
          <w:sz w:val="24"/>
          <w:szCs w:val="24"/>
        </w:rPr>
        <w:t>等百分位等值是一种利用等组或同一样本具有相同等级的百分位数（percentile）等值的原理，把新测验原始分数转换为标杆试卷上的原始分数，进而导出等值量表分数或等级的方法。其基本假定是，等组或同一组代表性考生样本，当他们分别作答新测验</w:t>
      </w:r>
      <w:r>
        <w:rPr>
          <w:rFonts w:ascii="Times New Roman" w:hAnsi="Times New Roman" w:cs="Times New Roman"/>
          <w:i/>
          <w:sz w:val="24"/>
          <w:szCs w:val="24"/>
        </w:rPr>
        <w:t>X</w:t>
      </w:r>
      <w:r>
        <w:rPr>
          <w:rFonts w:ascii="Times New Roman" w:hAnsi="Times New Roman" w:cs="Times New Roman"/>
          <w:sz w:val="24"/>
          <w:szCs w:val="24"/>
        </w:rPr>
        <w:t>和标杆测验</w:t>
      </w:r>
      <w:r>
        <w:rPr>
          <w:rFonts w:ascii="Times New Roman" w:hAnsi="Times New Roman" w:cs="Times New Roman"/>
          <w:i/>
          <w:sz w:val="24"/>
          <w:szCs w:val="24"/>
        </w:rPr>
        <w:t>Y</w:t>
      </w:r>
      <w:r>
        <w:rPr>
          <w:rFonts w:ascii="Times New Roman" w:hAnsi="Times New Roman" w:cs="Times New Roman"/>
          <w:sz w:val="24"/>
          <w:szCs w:val="24"/>
        </w:rPr>
        <w:t>之后，具有相同等级的百分位数是两个等值的原始分数。其恰当的等值设计是“单组设计或共同人设计”，也可以是“等组设计或随机组设计”。</w:t>
      </w:r>
    </w:p>
    <w:p>
      <w:pPr>
        <w:spacing w:line="360" w:lineRule="auto"/>
        <w:ind w:firstLine="420"/>
        <w:rPr>
          <w:rFonts w:ascii="Times New Roman" w:hAnsi="Times New Roman" w:cs="Times New Roman"/>
          <w:color w:val="FF0000"/>
          <w:sz w:val="24"/>
          <w:szCs w:val="24"/>
          <w:vertAlign w:val="superscript"/>
        </w:rPr>
      </w:pPr>
      <w:r>
        <w:rPr>
          <w:rFonts w:ascii="Times New Roman" w:hAnsi="Times New Roman" w:cs="Times New Roman"/>
          <w:sz w:val="24"/>
          <w:szCs w:val="24"/>
        </w:rPr>
        <w:t>实现等百分位等值可以遵循如下步骤</w:t>
      </w:r>
      <w:r>
        <w:rPr>
          <w:rStyle w:val="9"/>
          <w:rFonts w:ascii="Times New Roman" w:hAnsi="Times New Roman" w:cs="Times New Roman"/>
          <w:sz w:val="24"/>
          <w:szCs w:val="24"/>
        </w:rPr>
        <w:footnoteReference w:id="7"/>
      </w:r>
      <w:r>
        <w:rPr>
          <w:rFonts w:ascii="Times New Roman" w:hAnsi="Times New Roman" w:cs="Times New Roman"/>
          <w:sz w:val="24"/>
          <w:szCs w:val="24"/>
        </w:rPr>
        <w:t>。</w:t>
      </w:r>
    </w:p>
    <w:p>
      <w:pPr>
        <w:spacing w:line="360" w:lineRule="auto"/>
        <w:ind w:firstLine="420"/>
        <w:rPr>
          <w:rFonts w:ascii="Times New Roman" w:hAnsi="Times New Roman" w:cs="Times New Roman"/>
          <w:sz w:val="24"/>
          <w:szCs w:val="24"/>
        </w:rPr>
        <w:sectPr>
          <w:footnotePr>
            <w:numFmt w:val="decimalEnclosedCircleChinese"/>
            <w:numRestart w:val="eachPage"/>
          </w:footnotePr>
          <w:type w:val="continuous"/>
          <w:pgSz w:w="12240" w:h="15840"/>
          <w:pgMar w:top="1440" w:right="1440" w:bottom="1440" w:left="1440" w:header="720" w:footer="720" w:gutter="0"/>
          <w:cols w:space="720" w:num="1"/>
          <w:docGrid w:linePitch="360" w:charSpace="0"/>
        </w:sectPr>
      </w:pPr>
    </w:p>
    <w:p>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[步骤1] 验证等值的前提条件：检验新测验</w:t>
      </w:r>
      <w:r>
        <w:rPr>
          <w:rFonts w:ascii="Times New Roman" w:hAnsi="Times New Roman" w:cs="Times New Roman"/>
          <w:i/>
          <w:sz w:val="24"/>
          <w:szCs w:val="24"/>
        </w:rPr>
        <w:t>X</w:t>
      </w:r>
      <w:r>
        <w:rPr>
          <w:rFonts w:ascii="Times New Roman" w:hAnsi="Times New Roman" w:cs="Times New Roman"/>
          <w:sz w:val="24"/>
          <w:szCs w:val="24"/>
        </w:rPr>
        <w:t>与标杆测验</w:t>
      </w:r>
      <w:r>
        <w:rPr>
          <w:rFonts w:ascii="Times New Roman" w:hAnsi="Times New Roman" w:cs="Times New Roman"/>
          <w:i/>
          <w:sz w:val="24"/>
          <w:szCs w:val="24"/>
        </w:rPr>
        <w:t>Y</w:t>
      </w:r>
      <w:r>
        <w:rPr>
          <w:rFonts w:ascii="Times New Roman" w:hAnsi="Times New Roman" w:cs="Times New Roman"/>
          <w:sz w:val="24"/>
          <w:szCs w:val="24"/>
        </w:rPr>
        <w:t>是否满足测验等值的7个条件</w:t>
      </w:r>
      <w:r>
        <w:rPr>
          <w:rStyle w:val="9"/>
          <w:rFonts w:ascii="Times New Roman" w:hAnsi="Times New Roman" w:cs="Times New Roman"/>
          <w:sz w:val="24"/>
          <w:szCs w:val="24"/>
        </w:rPr>
        <w:footnoteReference w:id="8"/>
      </w:r>
      <w:r>
        <w:rPr>
          <w:rFonts w:ascii="Times New Roman" w:hAnsi="Times New Roman" w:cs="Times New Roman"/>
          <w:sz w:val="24"/>
          <w:szCs w:val="24"/>
        </w:rPr>
        <w:t>；</w:t>
      </w:r>
    </w:p>
    <w:p>
      <w:pPr>
        <w:spacing w:line="360" w:lineRule="auto"/>
        <w:ind w:firstLine="420"/>
        <w:rPr>
          <w:rFonts w:ascii="Times New Roman" w:hAnsi="Times New Roman" w:cs="Times New Roman"/>
          <w:sz w:val="24"/>
          <w:szCs w:val="24"/>
        </w:rPr>
      </w:pPr>
      <w:r>
        <w:rPr>
          <w:rFonts w:ascii="Times New Roman" w:hAnsi="Times New Roman" w:cs="Times New Roman"/>
          <w:sz w:val="24"/>
          <w:szCs w:val="24"/>
        </w:rPr>
        <w:t>[步骤2] 计算所有可能的等级：分别计算</w:t>
      </w:r>
      <w:r>
        <w:rPr>
          <w:rFonts w:ascii="Times New Roman" w:hAnsi="Times New Roman" w:cs="Times New Roman"/>
          <w:i/>
          <w:sz w:val="24"/>
          <w:szCs w:val="24"/>
        </w:rPr>
        <w:t>X</w:t>
      </w:r>
      <w:r>
        <w:rPr>
          <w:rFonts w:ascii="Times New Roman" w:hAnsi="Times New Roman" w:cs="Times New Roman"/>
          <w:sz w:val="24"/>
          <w:szCs w:val="24"/>
        </w:rPr>
        <w:t>和</w:t>
      </w:r>
      <w:r>
        <w:rPr>
          <w:rFonts w:ascii="Times New Roman" w:hAnsi="Times New Roman" w:cs="Times New Roman"/>
          <w:i/>
          <w:sz w:val="24"/>
          <w:szCs w:val="24"/>
        </w:rPr>
        <w:t>Y</w:t>
      </w:r>
      <w:r>
        <w:rPr>
          <w:rFonts w:ascii="Times New Roman" w:hAnsi="Times New Roman" w:cs="Times New Roman"/>
          <w:sz w:val="24"/>
          <w:szCs w:val="24"/>
        </w:rPr>
        <w:t>每个可能得分的百分等级（percent, P）累积百分等级（cumulative  percent，PC）；</w:t>
      </w:r>
    </w:p>
    <w:p>
      <w:pPr>
        <w:spacing w:line="360" w:lineRule="auto"/>
        <w:ind w:firstLine="420"/>
        <w:jc w:val="both"/>
        <w:rPr>
          <w:rFonts w:ascii="Times New Roman" w:hAnsi="Times New Roman" w:cs="Times New Roman"/>
          <w:sz w:val="24"/>
          <w:szCs w:val="24"/>
        </w:rPr>
      </w:pPr>
      <w:r>
        <w:rPr>
          <w:rFonts w:ascii="Times New Roman" w:hAnsi="Times New Roman" w:cs="Times New Roman"/>
          <w:sz w:val="24"/>
          <w:szCs w:val="24"/>
        </w:rPr>
        <w:t>[步骤3] 计算</w:t>
      </w:r>
      <w:r>
        <w:rPr>
          <w:rFonts w:ascii="Times New Roman" w:hAnsi="Times New Roman" w:cs="Times New Roman"/>
          <w:i/>
          <w:sz w:val="24"/>
          <w:szCs w:val="24"/>
        </w:rPr>
        <w:t>X</w:t>
      </w:r>
      <w:r>
        <w:rPr>
          <w:rFonts w:ascii="Times New Roman" w:hAnsi="Times New Roman" w:cs="Times New Roman"/>
          <w:sz w:val="24"/>
          <w:szCs w:val="24"/>
        </w:rPr>
        <w:t>测验等级中值：根据</w:t>
      </w:r>
      <w:r>
        <w:rPr>
          <w:rFonts w:ascii="Times New Roman" w:hAnsi="Times New Roman" w:cs="Times New Roman"/>
          <w:i/>
          <w:sz w:val="24"/>
          <w:szCs w:val="24"/>
        </w:rPr>
        <w:t>X</w:t>
      </w:r>
      <w:r>
        <w:rPr>
          <w:rFonts w:ascii="Times New Roman" w:hAnsi="Times New Roman" w:cs="Times New Roman"/>
          <w:sz w:val="24"/>
          <w:szCs w:val="24"/>
        </w:rPr>
        <w:t>测验上的</w:t>
      </w:r>
      <w:r>
        <w:rPr>
          <w:rFonts w:ascii="Times New Roman" w:hAnsi="Times New Roman" w:cs="Times New Roman"/>
          <w:i/>
          <w:sz w:val="24"/>
          <w:szCs w:val="24"/>
        </w:rPr>
        <w:t>Px</w:t>
      </w:r>
      <w:r>
        <w:rPr>
          <w:rFonts w:ascii="Times New Roman" w:hAnsi="Times New Roman" w:cs="Times New Roman"/>
          <w:sz w:val="24"/>
          <w:szCs w:val="24"/>
        </w:rPr>
        <w:t>和</w:t>
      </w:r>
      <w:r>
        <w:rPr>
          <w:rFonts w:ascii="Times New Roman" w:hAnsi="Times New Roman" w:cs="Times New Roman"/>
          <w:i/>
          <w:sz w:val="24"/>
          <w:szCs w:val="24"/>
        </w:rPr>
        <w:t>CPx</w:t>
      </w:r>
      <w:r>
        <w:rPr>
          <w:rFonts w:ascii="Times New Roman" w:hAnsi="Times New Roman" w:cs="Times New Roman"/>
          <w:sz w:val="24"/>
          <w:szCs w:val="24"/>
        </w:rPr>
        <w:t>，计算每个原始分数所对应的累积百分等级的组中值（Mid-point Cumulative Percent，MP），</w:t>
      </w:r>
    </w:p>
    <w:p>
      <w:pPr>
        <w:pStyle w:val="10"/>
        <w:spacing w:line="360" w:lineRule="auto"/>
        <w:ind w:left="780"/>
        <w:jc w:val="center"/>
        <w:rPr>
          <w:rFonts w:ascii="Times New Roman" w:hAnsi="Times New Roman" w:cs="Times New Roman"/>
          <w:sz w:val="24"/>
          <w:szCs w:val="24"/>
        </w:rPr>
      </w:pPr>
      <w:r>
        <w:rPr>
          <w:rFonts w:ascii="Times New Roman" w:hAnsi="Times New Roman" w:cs="Times New Roman"/>
          <w:i/>
          <w:sz w:val="24"/>
          <w:szCs w:val="24"/>
        </w:rPr>
        <w:t xml:space="preserve">MP </w:t>
      </w:r>
      <w:r>
        <w:rPr>
          <w:rFonts w:ascii="Times New Roman" w:hAnsi="Times New Roman" w:cs="Times New Roman"/>
          <w:sz w:val="24"/>
          <w:szCs w:val="24"/>
        </w:rPr>
        <w:t xml:space="preserve">= </w:t>
      </w:r>
      <w:r>
        <w:rPr>
          <w:rFonts w:ascii="Times New Roman" w:hAnsi="Times New Roman" w:cs="Times New Roman"/>
          <w:i/>
          <w:sz w:val="24"/>
          <w:szCs w:val="24"/>
        </w:rPr>
        <w:t>CPx</w:t>
      </w:r>
      <w:r>
        <w:rPr>
          <w:rFonts w:ascii="Times New Roman" w:hAnsi="Times New Roman" w:cs="Times New Roman"/>
          <w:sz w:val="24"/>
          <w:szCs w:val="24"/>
        </w:rPr>
        <w:t xml:space="preserve"> – </w:t>
      </w:r>
      <w:r>
        <w:rPr>
          <w:rFonts w:ascii="Times New Roman" w:hAnsi="Times New Roman" w:cs="Times New Roman"/>
          <w:i/>
          <w:sz w:val="24"/>
          <w:szCs w:val="24"/>
        </w:rPr>
        <w:t>Px</w:t>
      </w:r>
      <w:r>
        <w:rPr>
          <w:rFonts w:ascii="Times New Roman" w:hAnsi="Times New Roman" w:cs="Times New Roman"/>
          <w:sz w:val="24"/>
          <w:szCs w:val="24"/>
        </w:rPr>
        <w:t>/2;</w:t>
      </w:r>
    </w:p>
    <w:p>
      <w:pPr>
        <w:widowControl w:val="0"/>
        <w:spacing w:after="0" w:line="360" w:lineRule="auto"/>
        <w:ind w:firstLine="420"/>
        <w:jc w:val="both"/>
        <w:rPr>
          <w:rFonts w:ascii="Times New Roman" w:hAnsi="Times New Roman" w:cs="Times New Roman"/>
          <w:sz w:val="24"/>
          <w:szCs w:val="24"/>
        </w:rPr>
      </w:pPr>
      <w:r>
        <w:rPr>
          <w:rFonts w:ascii="Times New Roman" w:hAnsi="Times New Roman" w:cs="Times New Roman"/>
          <w:sz w:val="24"/>
          <w:szCs w:val="24"/>
        </w:rPr>
        <w:t>[步骤4] 寻找</w:t>
      </w:r>
      <w:r>
        <w:rPr>
          <w:rFonts w:ascii="Times New Roman" w:hAnsi="Times New Roman" w:cs="Times New Roman"/>
          <w:i/>
          <w:sz w:val="24"/>
          <w:szCs w:val="24"/>
        </w:rPr>
        <w:t>Y</w:t>
      </w:r>
      <w:r>
        <w:rPr>
          <w:rFonts w:ascii="Times New Roman" w:hAnsi="Times New Roman" w:cs="Times New Roman"/>
          <w:sz w:val="24"/>
          <w:szCs w:val="24"/>
        </w:rPr>
        <w:t>测验</w:t>
      </w:r>
      <w:r>
        <w:rPr>
          <w:rFonts w:ascii="Times New Roman" w:hAnsi="Times New Roman" w:cs="Times New Roman"/>
          <w:i/>
          <w:sz w:val="24"/>
          <w:szCs w:val="24"/>
        </w:rPr>
        <w:t>MP</w:t>
      </w:r>
      <w:r>
        <w:rPr>
          <w:rFonts w:ascii="Times New Roman" w:hAnsi="Times New Roman" w:cs="Times New Roman"/>
          <w:sz w:val="24"/>
          <w:szCs w:val="24"/>
        </w:rPr>
        <w:t>范围：根据</w:t>
      </w:r>
      <w:r>
        <w:rPr>
          <w:rFonts w:ascii="Times New Roman" w:hAnsi="Times New Roman" w:cs="Times New Roman"/>
          <w:i/>
          <w:sz w:val="24"/>
          <w:szCs w:val="24"/>
        </w:rPr>
        <w:t>MP</w:t>
      </w:r>
      <w:r>
        <w:rPr>
          <w:rFonts w:ascii="Times New Roman" w:hAnsi="Times New Roman" w:cs="Times New Roman"/>
          <w:sz w:val="24"/>
          <w:szCs w:val="24"/>
        </w:rPr>
        <w:t>值，寻找</w:t>
      </w:r>
      <w:r>
        <w:rPr>
          <w:rFonts w:ascii="Times New Roman" w:hAnsi="Times New Roman" w:cs="Times New Roman"/>
          <w:i/>
          <w:sz w:val="24"/>
          <w:szCs w:val="24"/>
        </w:rPr>
        <w:t>y</w:t>
      </w:r>
      <w:r>
        <w:rPr>
          <w:rFonts w:ascii="Times New Roman" w:hAnsi="Times New Roman" w:cs="Times New Roman"/>
          <w:sz w:val="24"/>
          <w:szCs w:val="24"/>
          <w:vertAlign w:val="subscript"/>
        </w:rPr>
        <w:t>1</w:t>
      </w:r>
      <w:r>
        <w:rPr>
          <w:rFonts w:ascii="Times New Roman" w:hAnsi="Times New Roman" w:cs="Times New Roman"/>
          <w:sz w:val="24"/>
          <w:szCs w:val="24"/>
        </w:rPr>
        <w:t>和</w:t>
      </w:r>
      <w:r>
        <w:rPr>
          <w:rFonts w:ascii="Times New Roman" w:hAnsi="Times New Roman" w:cs="Times New Roman"/>
          <w:i/>
          <w:sz w:val="24"/>
          <w:szCs w:val="24"/>
        </w:rPr>
        <w:t>y</w:t>
      </w:r>
      <w:r>
        <w:rPr>
          <w:rFonts w:ascii="Times New Roman" w:hAnsi="Times New Roman" w:cs="Times New Roman"/>
          <w:sz w:val="24"/>
          <w:szCs w:val="24"/>
          <w:vertAlign w:val="subscript"/>
        </w:rPr>
        <w:t>2</w:t>
      </w:r>
      <w:r>
        <w:rPr>
          <w:rFonts w:ascii="Times New Roman" w:hAnsi="Times New Roman" w:cs="Times New Roman"/>
          <w:sz w:val="24"/>
          <w:szCs w:val="24"/>
        </w:rPr>
        <w:t>，使得其对应的</w:t>
      </w:r>
      <w:r>
        <w:rPr>
          <w:rFonts w:ascii="Times New Roman" w:hAnsi="Times New Roman" w:cs="Times New Roman"/>
          <w:i/>
          <w:sz w:val="24"/>
          <w:szCs w:val="24"/>
        </w:rPr>
        <w:t>CP</w:t>
      </w:r>
      <w:r>
        <w:rPr>
          <w:rFonts w:ascii="Times New Roman" w:hAnsi="Times New Roman" w:cs="Times New Roman"/>
          <w:i/>
          <w:sz w:val="24"/>
          <w:szCs w:val="24"/>
          <w:vertAlign w:val="subscript"/>
        </w:rPr>
        <w:t>y</w:t>
      </w:r>
      <w:r>
        <w:rPr>
          <w:rFonts w:ascii="Times New Roman" w:hAnsi="Times New Roman" w:cs="Times New Roman"/>
          <w:sz w:val="24"/>
          <w:szCs w:val="24"/>
          <w:vertAlign w:val="subscript"/>
        </w:rPr>
        <w:t>1</w:t>
      </w:r>
      <w:r>
        <w:rPr>
          <w:rFonts w:ascii="Times New Roman" w:hAnsi="Times New Roman" w:cs="Times New Roman"/>
          <w:sz w:val="24"/>
          <w:szCs w:val="24"/>
        </w:rPr>
        <w:t>&lt;</w:t>
      </w:r>
      <w:r>
        <w:rPr>
          <w:rFonts w:ascii="Times New Roman" w:hAnsi="Times New Roman" w:cs="Times New Roman"/>
          <w:i/>
          <w:sz w:val="24"/>
          <w:szCs w:val="24"/>
        </w:rPr>
        <w:t>M</w:t>
      </w:r>
      <w:r>
        <w:rPr>
          <w:rFonts w:ascii="Times New Roman" w:hAnsi="Times New Roman" w:cs="Times New Roman"/>
          <w:sz w:val="24"/>
          <w:szCs w:val="24"/>
        </w:rPr>
        <w:t>P，并且</w:t>
      </w:r>
      <w:r>
        <w:rPr>
          <w:rFonts w:ascii="Times New Roman" w:hAnsi="Times New Roman" w:cs="Times New Roman"/>
          <w:i/>
          <w:sz w:val="24"/>
          <w:szCs w:val="24"/>
        </w:rPr>
        <w:t>CP</w:t>
      </w:r>
      <w:r>
        <w:rPr>
          <w:rFonts w:ascii="Times New Roman" w:hAnsi="Times New Roman" w:cs="Times New Roman"/>
          <w:i/>
          <w:sz w:val="24"/>
          <w:szCs w:val="24"/>
          <w:vertAlign w:val="subscript"/>
        </w:rPr>
        <w:t>y</w:t>
      </w:r>
      <w:r>
        <w:rPr>
          <w:rFonts w:ascii="Times New Roman" w:hAnsi="Times New Roman" w:cs="Times New Roman"/>
          <w:sz w:val="24"/>
          <w:szCs w:val="24"/>
          <w:vertAlign w:val="subscript"/>
        </w:rPr>
        <w:t>2</w:t>
      </w:r>
      <w:r>
        <w:rPr>
          <w:rFonts w:ascii="Times New Roman" w:hAnsi="Times New Roman" w:cs="Times New Roman"/>
          <w:sz w:val="24"/>
          <w:szCs w:val="24"/>
        </w:rPr>
        <w:t>&gt;</w:t>
      </w:r>
      <w:r>
        <w:rPr>
          <w:rFonts w:ascii="Times New Roman" w:hAnsi="Times New Roman" w:cs="Times New Roman"/>
          <w:i/>
          <w:sz w:val="24"/>
          <w:szCs w:val="24"/>
        </w:rPr>
        <w:t>MP</w:t>
      </w:r>
      <w:r>
        <w:rPr>
          <w:rFonts w:ascii="Times New Roman" w:hAnsi="Times New Roman" w:cs="Times New Roman"/>
          <w:sz w:val="24"/>
          <w:szCs w:val="24"/>
        </w:rPr>
        <w:t>。其中，</w:t>
      </w:r>
      <w:r>
        <w:rPr>
          <w:rFonts w:ascii="Times New Roman" w:hAnsi="Times New Roman" w:cs="Times New Roman"/>
          <w:i/>
          <w:sz w:val="24"/>
          <w:szCs w:val="24"/>
        </w:rPr>
        <w:t>y</w:t>
      </w:r>
      <w:r>
        <w:rPr>
          <w:rFonts w:ascii="Times New Roman" w:hAnsi="Times New Roman" w:cs="Times New Roman"/>
          <w:sz w:val="24"/>
          <w:szCs w:val="24"/>
          <w:vertAlign w:val="subscript"/>
        </w:rPr>
        <w:t>1</w:t>
      </w:r>
      <w:r>
        <w:rPr>
          <w:rFonts w:ascii="Times New Roman" w:hAnsi="Times New Roman" w:cs="Times New Roman"/>
          <w:sz w:val="24"/>
          <w:szCs w:val="24"/>
        </w:rPr>
        <w:t>与</w:t>
      </w:r>
      <w:r>
        <w:rPr>
          <w:rFonts w:ascii="Times New Roman" w:hAnsi="Times New Roman" w:cs="Times New Roman"/>
          <w:i/>
          <w:sz w:val="24"/>
          <w:szCs w:val="24"/>
        </w:rPr>
        <w:t>y</w:t>
      </w:r>
      <w:r>
        <w:rPr>
          <w:rFonts w:ascii="Times New Roman" w:hAnsi="Times New Roman" w:cs="Times New Roman"/>
          <w:sz w:val="24"/>
          <w:szCs w:val="24"/>
          <w:vertAlign w:val="subscript"/>
        </w:rPr>
        <w:t>2</w:t>
      </w:r>
      <w:r>
        <w:rPr>
          <w:rFonts w:ascii="Times New Roman" w:hAnsi="Times New Roman" w:cs="Times New Roman"/>
          <w:sz w:val="24"/>
          <w:szCs w:val="24"/>
        </w:rPr>
        <w:t>之间没有任何实际得分；</w:t>
      </w:r>
    </w:p>
    <w:p>
      <w:pPr>
        <w:widowControl w:val="0"/>
        <w:spacing w:after="0" w:line="360" w:lineRule="auto"/>
        <w:ind w:firstLine="420"/>
        <w:jc w:val="both"/>
        <w:rPr>
          <w:rFonts w:ascii="Times New Roman" w:hAnsi="Times New Roman" w:cs="Times New Roman"/>
          <w:sz w:val="24"/>
          <w:szCs w:val="24"/>
        </w:rPr>
      </w:pPr>
      <w:r>
        <w:rPr>
          <w:rFonts w:ascii="Times New Roman" w:hAnsi="Times New Roman" w:cs="Times New Roman"/>
          <w:sz w:val="24"/>
          <w:szCs w:val="24"/>
        </w:rPr>
        <w:t>[步骤5] 插值计算等值分</w:t>
      </w:r>
      <w:r>
        <w:rPr>
          <w:rFonts w:ascii="Times New Roman" w:hAnsi="Times New Roman" w:cs="Times New Roman"/>
          <w:i/>
          <w:sz w:val="24"/>
          <w:szCs w:val="24"/>
        </w:rPr>
        <w:t>Eq</w:t>
      </w:r>
      <w:r>
        <w:rPr>
          <w:rFonts w:ascii="Times New Roman" w:hAnsi="Times New Roman" w:cs="Times New Roman"/>
          <w:sz w:val="24"/>
          <w:szCs w:val="24"/>
        </w:rPr>
        <w:t>(</w:t>
      </w:r>
      <w:r>
        <w:rPr>
          <w:rFonts w:ascii="Times New Roman" w:hAnsi="Times New Roman" w:cs="Times New Roman"/>
          <w:i/>
          <w:sz w:val="24"/>
          <w:szCs w:val="24"/>
        </w:rPr>
        <w:t>X</w:t>
      </w:r>
      <w:r>
        <w:rPr>
          <w:rFonts w:ascii="Times New Roman" w:hAnsi="Times New Roman" w:cs="Times New Roman"/>
          <w:sz w:val="24"/>
          <w:szCs w:val="24"/>
        </w:rPr>
        <w:t>)：</w:t>
      </w:r>
    </w:p>
    <w:p>
      <w:pPr>
        <w:spacing w:line="360" w:lineRule="auto"/>
        <w:ind w:firstLine="420"/>
        <w:jc w:val="center"/>
        <w:rPr>
          <w:rFonts w:ascii="Times New Roman" w:hAnsi="Times New Roman" w:cs="Times New Roman"/>
          <w:sz w:val="24"/>
          <w:szCs w:val="24"/>
        </w:rPr>
      </w:pPr>
      <w:r>
        <w:rPr>
          <w:rFonts w:ascii="Times New Roman" w:hAnsi="Times New Roman" w:cs="Times New Roman"/>
          <w:i/>
          <w:sz w:val="24"/>
          <w:szCs w:val="24"/>
        </w:rPr>
        <w:t>Eq</w:t>
      </w:r>
      <w:r>
        <w:rPr>
          <w:rFonts w:ascii="Times New Roman" w:hAnsi="Times New Roman" w:cs="Times New Roman"/>
          <w:sz w:val="24"/>
          <w:szCs w:val="24"/>
        </w:rPr>
        <w:t>(</w:t>
      </w:r>
      <w:r>
        <w:rPr>
          <w:rFonts w:ascii="Times New Roman" w:hAnsi="Times New Roman" w:cs="Times New Roman"/>
          <w:i/>
          <w:sz w:val="24"/>
          <w:szCs w:val="24"/>
        </w:rPr>
        <w:t>X</w:t>
      </w:r>
      <w:r>
        <w:rPr>
          <w:rFonts w:ascii="Times New Roman" w:hAnsi="Times New Roman" w:cs="Times New Roman"/>
          <w:sz w:val="24"/>
          <w:szCs w:val="24"/>
        </w:rPr>
        <w:t>) = {[(</w:t>
      </w:r>
      <w:r>
        <w:rPr>
          <w:rFonts w:ascii="Times New Roman" w:hAnsi="Times New Roman" w:cs="Times New Roman"/>
          <w:i/>
          <w:sz w:val="24"/>
          <w:szCs w:val="24"/>
        </w:rPr>
        <w:t>MP</w:t>
      </w:r>
      <w:r>
        <w:rPr>
          <w:rFonts w:ascii="Times New Roman" w:hAnsi="Times New Roman" w:cs="Times New Roman"/>
          <w:sz w:val="24"/>
          <w:szCs w:val="24"/>
        </w:rPr>
        <w:t xml:space="preserve"> –</w:t>
      </w:r>
      <w:r>
        <w:rPr>
          <w:rFonts w:ascii="Times New Roman" w:hAnsi="Times New Roman" w:cs="Times New Roman"/>
          <w:i/>
          <w:sz w:val="24"/>
          <w:szCs w:val="24"/>
        </w:rPr>
        <w:t>CP</w:t>
      </w:r>
      <w:r>
        <w:rPr>
          <w:rFonts w:ascii="Times New Roman" w:hAnsi="Times New Roman" w:cs="Times New Roman"/>
          <w:i/>
          <w:sz w:val="24"/>
          <w:szCs w:val="24"/>
          <w:vertAlign w:val="subscript"/>
        </w:rPr>
        <w:t>y1</w:t>
      </w:r>
      <w:r>
        <w:rPr>
          <w:rFonts w:ascii="Times New Roman" w:hAnsi="Times New Roman" w:cs="Times New Roman"/>
          <w:sz w:val="24"/>
          <w:szCs w:val="24"/>
        </w:rPr>
        <w:t>)/(</w:t>
      </w:r>
      <w:r>
        <w:rPr>
          <w:rFonts w:ascii="Times New Roman" w:hAnsi="Times New Roman" w:cs="Times New Roman"/>
          <w:i/>
          <w:sz w:val="24"/>
          <w:szCs w:val="24"/>
        </w:rPr>
        <w:t>CP</w:t>
      </w:r>
      <w:r>
        <w:rPr>
          <w:rFonts w:ascii="Times New Roman" w:hAnsi="Times New Roman" w:cs="Times New Roman"/>
          <w:i/>
          <w:sz w:val="24"/>
          <w:szCs w:val="24"/>
          <w:vertAlign w:val="subscript"/>
        </w:rPr>
        <w:t>y2</w:t>
      </w:r>
      <w:r>
        <w:rPr>
          <w:rFonts w:ascii="Times New Roman" w:hAnsi="Times New Roman" w:cs="Times New Roman"/>
          <w:sz w:val="24"/>
          <w:szCs w:val="24"/>
        </w:rPr>
        <w:t>–</w:t>
      </w:r>
      <w:r>
        <w:rPr>
          <w:rFonts w:ascii="Times New Roman" w:hAnsi="Times New Roman" w:cs="Times New Roman"/>
          <w:i/>
          <w:sz w:val="24"/>
          <w:szCs w:val="24"/>
        </w:rPr>
        <w:t>CP</w:t>
      </w:r>
      <w:r>
        <w:rPr>
          <w:rFonts w:ascii="Times New Roman" w:hAnsi="Times New Roman" w:cs="Times New Roman"/>
          <w:i/>
          <w:sz w:val="24"/>
          <w:szCs w:val="24"/>
          <w:vertAlign w:val="subscript"/>
        </w:rPr>
        <w:t>y1</w:t>
      </w:r>
      <w:r>
        <w:rPr>
          <w:rFonts w:ascii="Times New Roman" w:hAnsi="Times New Roman" w:cs="Times New Roman"/>
          <w:sz w:val="24"/>
          <w:szCs w:val="24"/>
        </w:rPr>
        <w:t>)] × (</w:t>
      </w:r>
      <w:r>
        <w:rPr>
          <w:rFonts w:ascii="Times New Roman" w:hAnsi="Times New Roman" w:cs="Times New Roman"/>
          <w:i/>
          <w:sz w:val="24"/>
          <w:szCs w:val="24"/>
        </w:rPr>
        <w:t>y</w:t>
      </w:r>
      <w:r>
        <w:rPr>
          <w:rFonts w:ascii="Times New Roman" w:hAnsi="Times New Roman" w:cs="Times New Roman"/>
          <w:sz w:val="24"/>
          <w:szCs w:val="24"/>
          <w:vertAlign w:val="subscript"/>
        </w:rPr>
        <w:t>2</w:t>
      </w:r>
      <w:r>
        <w:rPr>
          <w:rFonts w:ascii="Times New Roman" w:hAnsi="Times New Roman" w:cs="Times New Roman"/>
          <w:sz w:val="24"/>
          <w:szCs w:val="24"/>
        </w:rPr>
        <w:t>–</w:t>
      </w:r>
      <w:r>
        <w:rPr>
          <w:rFonts w:ascii="Times New Roman" w:hAnsi="Times New Roman" w:cs="Times New Roman"/>
          <w:i/>
          <w:sz w:val="24"/>
          <w:szCs w:val="24"/>
        </w:rPr>
        <w:t>y</w:t>
      </w:r>
      <w:r>
        <w:rPr>
          <w:rFonts w:ascii="Times New Roman" w:hAnsi="Times New Roman" w:cs="Times New Roman"/>
          <w:sz w:val="24"/>
          <w:szCs w:val="24"/>
          <w:vertAlign w:val="subscript"/>
        </w:rPr>
        <w:t>1</w:t>
      </w:r>
      <w:r>
        <w:rPr>
          <w:rFonts w:ascii="Times New Roman" w:hAnsi="Times New Roman" w:cs="Times New Roman"/>
          <w:sz w:val="24"/>
          <w:szCs w:val="24"/>
        </w:rPr>
        <w:t>)} +</w:t>
      </w:r>
      <w:r>
        <w:rPr>
          <w:rFonts w:ascii="Times New Roman" w:hAnsi="Times New Roman" w:cs="Times New Roman"/>
          <w:i/>
          <w:sz w:val="24"/>
          <w:szCs w:val="24"/>
        </w:rPr>
        <w:t xml:space="preserve"> y</w:t>
      </w:r>
      <w:r>
        <w:rPr>
          <w:rFonts w:ascii="Times New Roman" w:hAnsi="Times New Roman" w:cs="Times New Roman"/>
          <w:sz w:val="24"/>
          <w:szCs w:val="24"/>
          <w:vertAlign w:val="subscript"/>
        </w:rPr>
        <w:t>1</w:t>
      </w:r>
    </w:p>
    <w:p>
      <w:pPr>
        <w:spacing w:line="360" w:lineRule="auto"/>
        <w:ind w:firstLine="450"/>
        <w:jc w:val="both"/>
        <w:rPr>
          <w:rFonts w:ascii="Times New Roman" w:hAnsi="Times New Roman" w:eastAsia="宋体" w:cs="Times New Roman"/>
          <w:sz w:val="24"/>
          <w:szCs w:val="24"/>
        </w:rPr>
      </w:pPr>
      <w:r>
        <w:rPr>
          <w:rFonts w:ascii="Times New Roman" w:hAnsi="Times New Roman" w:eastAsia="宋体" w:cs="Times New Roman"/>
          <w:sz w:val="24"/>
          <w:szCs w:val="24"/>
        </w:rPr>
        <w:t>至此，新测验（</w:t>
      </w:r>
      <w:r>
        <w:rPr>
          <w:rFonts w:ascii="Times New Roman" w:hAnsi="Times New Roman" w:eastAsia="宋体" w:cs="Times New Roman"/>
          <w:i/>
          <w:sz w:val="24"/>
          <w:szCs w:val="24"/>
        </w:rPr>
        <w:t>X</w:t>
      </w:r>
      <w:r>
        <w:rPr>
          <w:rFonts w:ascii="Times New Roman" w:hAnsi="Times New Roman" w:eastAsia="宋体" w:cs="Times New Roman"/>
          <w:sz w:val="24"/>
          <w:szCs w:val="24"/>
        </w:rPr>
        <w:t>）的原始分数便转换到了标杆测验（</w:t>
      </w:r>
      <w:r>
        <w:rPr>
          <w:rFonts w:ascii="Times New Roman" w:hAnsi="Times New Roman" w:eastAsia="宋体" w:cs="Times New Roman"/>
          <w:i/>
          <w:sz w:val="24"/>
          <w:szCs w:val="24"/>
        </w:rPr>
        <w:t>Y</w:t>
      </w:r>
      <w:r>
        <w:rPr>
          <w:rFonts w:ascii="Times New Roman" w:hAnsi="Times New Roman" w:eastAsia="宋体" w:cs="Times New Roman"/>
          <w:sz w:val="24"/>
          <w:szCs w:val="24"/>
        </w:rPr>
        <w:t>）的分数度量系统之上。</w:t>
      </w:r>
    </w:p>
    <w:p>
      <w:pPr>
        <w:spacing w:line="360" w:lineRule="auto"/>
        <w:ind w:firstLine="420"/>
        <w:jc w:val="both"/>
        <w:rPr>
          <w:rFonts w:ascii="Times New Roman" w:hAnsi="Times New Roman" w:cs="Times New Roman"/>
          <w:sz w:val="24"/>
          <w:szCs w:val="24"/>
        </w:rPr>
      </w:pPr>
      <w:r>
        <w:rPr>
          <w:rFonts w:ascii="Times New Roman" w:hAnsi="Times New Roman" w:eastAsia="宋体" w:cs="Times New Roman"/>
          <w:sz w:val="24"/>
          <w:szCs w:val="24"/>
        </w:rPr>
        <w:t>此外，根据各省/市/区公布的高考总分“一分一段分数表”，很容易推算出各地每年的高考总分均值和标准差，所以经典测验理论中的“均值/标准差”线性等值方法也比较实用。该方法的基本思想是</w:t>
      </w:r>
      <w:r>
        <w:rPr>
          <w:rStyle w:val="9"/>
          <w:rFonts w:ascii="Times New Roman" w:hAnsi="Times New Roman" w:eastAsia="宋体" w:cs="Times New Roman"/>
          <w:sz w:val="24"/>
          <w:szCs w:val="24"/>
        </w:rPr>
        <w:footnoteReference w:id="9"/>
      </w:r>
      <w:r>
        <w:rPr>
          <w:rFonts w:ascii="Times New Roman" w:hAnsi="Times New Roman" w:eastAsia="宋体" w:cs="Times New Roman"/>
          <w:sz w:val="24"/>
          <w:szCs w:val="24"/>
        </w:rPr>
        <w:t>：假设</w:t>
      </w:r>
      <w:r>
        <w:rPr>
          <w:rFonts w:ascii="Times New Roman" w:hAnsi="Times New Roman" w:cs="Times New Roman"/>
          <w:sz w:val="24"/>
          <w:szCs w:val="24"/>
        </w:rPr>
        <w:t>考生张三在新测验上的原始分数为</w:t>
      </w:r>
      <w:r>
        <w:rPr>
          <w:rFonts w:ascii="Times New Roman" w:hAnsi="Times New Roman" w:cs="Times New Roman"/>
          <w:i/>
          <w:sz w:val="24"/>
          <w:szCs w:val="24"/>
        </w:rPr>
        <w:t>X</w:t>
      </w:r>
      <w:r>
        <w:rPr>
          <w:rFonts w:ascii="Times New Roman" w:hAnsi="Times New Roman" w:cs="Times New Roman"/>
          <w:sz w:val="24"/>
          <w:szCs w:val="24"/>
        </w:rPr>
        <w:t>，其所属的某个代表性考生群体（如全省理工类考生或全省文史类考生）的原始分数平均值为</w:t>
      </w:r>
      <w:r>
        <w:rPr>
          <w:rFonts w:ascii="Times New Roman" w:hAnsi="Times New Roman" w:cs="Times New Roman"/>
          <w:i/>
          <w:sz w:val="24"/>
          <w:szCs w:val="24"/>
        </w:rPr>
        <w:t>M_X</w:t>
      </w:r>
      <w:r>
        <w:rPr>
          <w:rFonts w:ascii="Times New Roman" w:hAnsi="Times New Roman" w:cs="Times New Roman"/>
          <w:sz w:val="24"/>
          <w:szCs w:val="24"/>
        </w:rPr>
        <w:t>，标准差为</w:t>
      </w:r>
      <w:r>
        <w:rPr>
          <w:rFonts w:ascii="Times New Roman" w:hAnsi="Times New Roman" w:cs="Times New Roman"/>
          <w:i/>
          <w:sz w:val="24"/>
          <w:szCs w:val="24"/>
        </w:rPr>
        <w:t>SD_X</w:t>
      </w:r>
      <w:r>
        <w:rPr>
          <w:rFonts w:ascii="Times New Roman" w:hAnsi="Times New Roman" w:cs="Times New Roman"/>
          <w:sz w:val="24"/>
          <w:szCs w:val="24"/>
        </w:rPr>
        <w:t>。假定另有一位与张三水平一致的考生李四，他曾作答过标杆试卷，并获</w:t>
      </w:r>
      <w:r>
        <w:rPr>
          <w:rFonts w:ascii="Times New Roman" w:cs="Times New Roman"/>
          <w:sz w:val="24"/>
          <w:szCs w:val="24"/>
        </w:rPr>
        <w:t>得</w:t>
      </w:r>
      <w:r>
        <w:rPr>
          <w:rFonts w:ascii="Times New Roman" w:hAnsi="Times New Roman" w:cs="Times New Roman"/>
          <w:sz w:val="24"/>
          <w:szCs w:val="24"/>
        </w:rPr>
        <w:t>卷面原始分数</w:t>
      </w:r>
      <w:r>
        <w:rPr>
          <w:rFonts w:ascii="Times New Roman" w:hAnsi="Times New Roman" w:cs="Times New Roman"/>
          <w:i/>
          <w:sz w:val="24"/>
          <w:szCs w:val="24"/>
        </w:rPr>
        <w:t>Y</w:t>
      </w:r>
      <w:r>
        <w:rPr>
          <w:rFonts w:ascii="Times New Roman" w:hAnsi="Times New Roman" w:cs="Times New Roman"/>
          <w:sz w:val="24"/>
          <w:szCs w:val="24"/>
        </w:rPr>
        <w:t>，其所属代表性群体的平均分和标准差分别为</w:t>
      </w:r>
      <w:r>
        <w:rPr>
          <w:rFonts w:ascii="Times New Roman" w:hAnsi="Times New Roman" w:cs="Times New Roman"/>
          <w:i/>
          <w:sz w:val="24"/>
          <w:szCs w:val="24"/>
        </w:rPr>
        <w:t>M_Y</w:t>
      </w:r>
      <w:r>
        <w:rPr>
          <w:rFonts w:ascii="Times New Roman" w:hAnsi="Times New Roman" w:cs="Times New Roman"/>
          <w:sz w:val="24"/>
          <w:szCs w:val="24"/>
        </w:rPr>
        <w:t>和</w:t>
      </w:r>
      <w:r>
        <w:rPr>
          <w:rFonts w:ascii="Times New Roman" w:hAnsi="Times New Roman" w:cs="Times New Roman"/>
          <w:i/>
          <w:sz w:val="24"/>
          <w:szCs w:val="24"/>
        </w:rPr>
        <w:t>SD_Y</w:t>
      </w:r>
      <w:r>
        <w:rPr>
          <w:rFonts w:ascii="Times New Roman" w:hAnsi="Times New Roman" w:cs="Times New Roman"/>
          <w:sz w:val="24"/>
          <w:szCs w:val="24"/>
        </w:rPr>
        <w:t>。于是，在假定两个年度之间考生总体水平基本一致的前提下，这两个能力水平一致的考生，他们在两次测验上的得分（</w:t>
      </w:r>
      <w:r>
        <w:rPr>
          <w:rFonts w:ascii="Times New Roman" w:hAnsi="Times New Roman" w:cs="Times New Roman"/>
          <w:i/>
          <w:sz w:val="24"/>
          <w:szCs w:val="24"/>
        </w:rPr>
        <w:t>X</w:t>
      </w:r>
      <w:r>
        <w:rPr>
          <w:rFonts w:ascii="Times New Roman" w:hAnsi="Times New Roman" w:cs="Times New Roman"/>
          <w:sz w:val="24"/>
          <w:szCs w:val="24"/>
        </w:rPr>
        <w:t>，</w:t>
      </w:r>
      <w:r>
        <w:rPr>
          <w:rFonts w:ascii="Times New Roman" w:hAnsi="Times New Roman" w:cs="Times New Roman"/>
          <w:i/>
          <w:sz w:val="24"/>
          <w:szCs w:val="24"/>
        </w:rPr>
        <w:t>Y</w:t>
      </w:r>
      <w:r>
        <w:rPr>
          <w:rFonts w:ascii="Times New Roman" w:hAnsi="Times New Roman" w:cs="Times New Roman"/>
          <w:sz w:val="24"/>
          <w:szCs w:val="24"/>
        </w:rPr>
        <w:t>）之间具有如下关系：</w:t>
      </w:r>
    </w:p>
    <w:p>
      <w:pPr>
        <w:spacing w:line="360" w:lineRule="auto"/>
        <w:ind w:firstLine="420"/>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Y</w:t>
      </w:r>
      <w:r>
        <w:rPr>
          <w:rFonts w:ascii="Times New Roman" w:hAnsi="Times New Roman" w:cs="Times New Roman"/>
          <w:sz w:val="24"/>
          <w:szCs w:val="24"/>
        </w:rPr>
        <w:t>–</w:t>
      </w:r>
      <w:r>
        <w:rPr>
          <w:rFonts w:ascii="Times New Roman" w:hAnsi="Times New Roman" w:cs="Times New Roman"/>
          <w:i/>
          <w:sz w:val="24"/>
          <w:szCs w:val="24"/>
        </w:rPr>
        <w:t>M_Y)</w:t>
      </w:r>
      <w:r>
        <w:rPr>
          <w:rFonts w:ascii="Times New Roman" w:hAnsi="Times New Roman" w:cs="Times New Roman"/>
          <w:sz w:val="24"/>
          <w:szCs w:val="24"/>
        </w:rPr>
        <w:t>/</w:t>
      </w:r>
      <w:r>
        <w:rPr>
          <w:rFonts w:ascii="Times New Roman" w:hAnsi="Times New Roman" w:cs="Times New Roman"/>
          <w:i/>
          <w:sz w:val="24"/>
          <w:szCs w:val="24"/>
        </w:rPr>
        <w:t xml:space="preserve">SD_Y </w:t>
      </w:r>
      <w:r>
        <w:rPr>
          <w:rFonts w:ascii="Times New Roman" w:hAnsi="Times New Roman" w:cs="Times New Roman"/>
          <w:sz w:val="24"/>
          <w:szCs w:val="24"/>
        </w:rPr>
        <w:t>= (</w:t>
      </w:r>
      <w:r>
        <w:rPr>
          <w:rFonts w:ascii="Times New Roman" w:hAnsi="Times New Roman" w:cs="Times New Roman"/>
          <w:i/>
          <w:sz w:val="24"/>
          <w:szCs w:val="24"/>
        </w:rPr>
        <w:t>X</w:t>
      </w:r>
      <w:r>
        <w:rPr>
          <w:rFonts w:ascii="Times New Roman" w:hAnsi="Times New Roman" w:cs="Times New Roman"/>
          <w:sz w:val="24"/>
          <w:szCs w:val="24"/>
        </w:rPr>
        <w:t>–</w:t>
      </w:r>
      <w:r>
        <w:rPr>
          <w:rFonts w:ascii="Times New Roman" w:hAnsi="Times New Roman" w:cs="Times New Roman"/>
          <w:i/>
          <w:sz w:val="24"/>
          <w:szCs w:val="24"/>
        </w:rPr>
        <w:t>M_X</w:t>
      </w:r>
      <w:r>
        <w:rPr>
          <w:rFonts w:ascii="Times New Roman" w:hAnsi="Times New Roman" w:cs="Times New Roman"/>
          <w:sz w:val="24"/>
          <w:szCs w:val="24"/>
        </w:rPr>
        <w:t>)/</w:t>
      </w:r>
      <w:r>
        <w:rPr>
          <w:rFonts w:ascii="Times New Roman" w:hAnsi="Times New Roman" w:cs="Times New Roman"/>
          <w:i/>
          <w:sz w:val="24"/>
          <w:szCs w:val="24"/>
        </w:rPr>
        <w:t>SD_X</w:t>
      </w:r>
      <w:r>
        <w:rPr>
          <w:rFonts w:ascii="Times New Roman" w:hAnsi="Times New Roman" w:cs="Times New Roman"/>
          <w:sz w:val="24"/>
          <w:szCs w:val="24"/>
        </w:rPr>
        <w:t xml:space="preserve"> ,                                         </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 xml:space="preserve">    (1)</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于是有，         </w:t>
      </w:r>
    </w:p>
    <w:p>
      <w:pPr>
        <w:spacing w:line="360" w:lineRule="auto"/>
        <w:ind w:firstLine="420"/>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 xml:space="preserve">Y </w:t>
      </w:r>
      <w:r>
        <w:rPr>
          <w:rFonts w:ascii="Times New Roman" w:hAnsi="Times New Roman" w:cs="Times New Roman"/>
          <w:sz w:val="24"/>
          <w:szCs w:val="24"/>
        </w:rPr>
        <w:t>= (</w:t>
      </w:r>
      <w:r>
        <w:rPr>
          <w:rFonts w:ascii="Times New Roman" w:hAnsi="Times New Roman" w:cs="Times New Roman"/>
          <w:i/>
          <w:sz w:val="24"/>
          <w:szCs w:val="24"/>
        </w:rPr>
        <w:t>SD_Y</w:t>
      </w:r>
      <w:r>
        <w:rPr>
          <w:rFonts w:ascii="Times New Roman" w:hAnsi="Times New Roman" w:cs="Times New Roman"/>
          <w:sz w:val="24"/>
          <w:szCs w:val="24"/>
        </w:rPr>
        <w:t>/</w:t>
      </w:r>
      <w:r>
        <w:rPr>
          <w:rFonts w:ascii="Times New Roman" w:hAnsi="Times New Roman" w:cs="Times New Roman"/>
          <w:i/>
          <w:sz w:val="24"/>
          <w:szCs w:val="24"/>
        </w:rPr>
        <w:t>SD_X</w:t>
      </w:r>
      <w:r>
        <w:rPr>
          <w:rFonts w:ascii="Times New Roman" w:hAnsi="Times New Roman" w:cs="Times New Roman"/>
          <w:sz w:val="24"/>
          <w:szCs w:val="24"/>
        </w:rPr>
        <w:t>)</w:t>
      </w:r>
      <w:r>
        <w:rPr>
          <w:rFonts w:ascii="Times New Roman" w:hAnsi="Times New Roman" w:cs="Times New Roman"/>
          <w:i/>
          <w:sz w:val="24"/>
          <w:szCs w:val="24"/>
        </w:rPr>
        <w:t xml:space="preserve">X </w:t>
      </w:r>
      <w:r>
        <w:rPr>
          <w:rFonts w:ascii="Times New Roman" w:hAnsi="Times New Roman" w:cs="Times New Roman"/>
          <w:sz w:val="24"/>
          <w:szCs w:val="24"/>
        </w:rPr>
        <w:t>+ (</w:t>
      </w:r>
      <w:r>
        <w:rPr>
          <w:rFonts w:ascii="Times New Roman" w:hAnsi="Times New Roman" w:cs="Times New Roman"/>
          <w:i/>
          <w:sz w:val="24"/>
          <w:szCs w:val="24"/>
        </w:rPr>
        <w:t>M_Y</w:t>
      </w:r>
      <w:r>
        <w:rPr>
          <w:rFonts w:ascii="Times New Roman" w:hAnsi="Times New Roman" w:cs="Times New Roman"/>
          <w:sz w:val="24"/>
          <w:szCs w:val="24"/>
        </w:rPr>
        <w:t>–</w:t>
      </w:r>
      <w:r>
        <w:rPr>
          <w:rFonts w:ascii="Times New Roman" w:hAnsi="Times New Roman" w:cs="Times New Roman"/>
          <w:i/>
          <w:sz w:val="24"/>
          <w:szCs w:val="24"/>
        </w:rPr>
        <w:t>M_X</w:t>
      </w:r>
      <w:r>
        <w:rPr>
          <w:rFonts w:ascii="Times New Roman" w:hAnsi="Times New Roman" w:cs="Times New Roman"/>
          <w:sz w:val="24"/>
          <w:szCs w:val="24"/>
        </w:rPr>
        <w:t>(</w:t>
      </w:r>
      <w:r>
        <w:rPr>
          <w:rFonts w:ascii="Times New Roman" w:hAnsi="Times New Roman" w:cs="Times New Roman"/>
          <w:i/>
          <w:sz w:val="24"/>
          <w:szCs w:val="24"/>
        </w:rPr>
        <w:t>SD_Y</w:t>
      </w:r>
      <w:r>
        <w:rPr>
          <w:rFonts w:ascii="Times New Roman" w:hAnsi="Times New Roman" w:cs="Times New Roman"/>
          <w:sz w:val="24"/>
          <w:szCs w:val="24"/>
        </w:rPr>
        <w:t>/</w:t>
      </w:r>
      <w:r>
        <w:rPr>
          <w:rFonts w:ascii="Times New Roman" w:hAnsi="Times New Roman" w:cs="Times New Roman"/>
          <w:i/>
          <w:sz w:val="24"/>
          <w:szCs w:val="24"/>
        </w:rPr>
        <w:t>SD_X</w:t>
      </w:r>
      <w:r>
        <w:rPr>
          <w:rFonts w:ascii="Times New Roman" w:hAnsi="Times New Roman" w:cs="Times New Roman"/>
          <w:sz w:val="24"/>
          <w:szCs w:val="24"/>
        </w:rPr>
        <w:t xml:space="preserve">))   ，  </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 xml:space="preserve">        </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       (2)</w:t>
      </w:r>
    </w:p>
    <w:p>
      <w:pPr>
        <w:spacing w:line="360" w:lineRule="auto"/>
        <w:rPr>
          <w:rFonts w:ascii="Times New Roman" w:hAnsi="Times New Roman" w:cs="Times New Roman"/>
          <w:sz w:val="24"/>
          <w:szCs w:val="24"/>
        </w:rPr>
      </w:pPr>
      <w:r>
        <w:rPr>
          <w:rFonts w:ascii="Times New Roman" w:hAnsi="Times New Roman" w:cs="Times New Roman"/>
          <w:sz w:val="24"/>
          <w:szCs w:val="24"/>
        </w:rPr>
        <w:t>即，张三在新测验上的得分X相当于他在标杆试卷的分数</w:t>
      </w:r>
      <w:r>
        <w:rPr>
          <w:rFonts w:ascii="Times New Roman" w:hAnsi="Times New Roman" w:cs="Times New Roman"/>
          <w:i/>
          <w:sz w:val="24"/>
          <w:szCs w:val="24"/>
        </w:rPr>
        <w:t>Eq_X</w:t>
      </w:r>
      <w:r>
        <w:rPr>
          <w:rFonts w:ascii="Times New Roman" w:hAnsi="Times New Roman" w:cs="Times New Roman"/>
          <w:sz w:val="24"/>
          <w:szCs w:val="24"/>
        </w:rPr>
        <w:t>，其公式为：</w:t>
      </w:r>
    </w:p>
    <w:p>
      <w:pPr>
        <w:spacing w:line="360" w:lineRule="auto"/>
        <w:ind w:firstLine="420"/>
        <w:jc w:val="right"/>
        <w:rPr>
          <w:rFonts w:ascii="Times New Roman" w:hAnsi="Times New Roman" w:cs="Times New Roman"/>
          <w:sz w:val="24"/>
          <w:szCs w:val="24"/>
        </w:rPr>
      </w:pPr>
      <w:r>
        <w:rPr>
          <w:rFonts w:ascii="Times New Roman" w:hAnsi="Times New Roman" w:cs="Times New Roman"/>
          <w:i/>
          <w:sz w:val="24"/>
          <w:szCs w:val="24"/>
        </w:rPr>
        <w:t xml:space="preserve">                                       Eq_X </w:t>
      </w:r>
      <w:r>
        <w:rPr>
          <w:rFonts w:ascii="Times New Roman" w:hAnsi="Times New Roman" w:cs="Times New Roman"/>
          <w:sz w:val="24"/>
          <w:szCs w:val="24"/>
        </w:rPr>
        <w:t xml:space="preserve">= </w:t>
      </w:r>
      <w:r>
        <w:rPr>
          <w:rFonts w:ascii="Times New Roman" w:hAnsi="Times New Roman" w:cs="Times New Roman"/>
          <w:i/>
          <w:sz w:val="24"/>
          <w:szCs w:val="24"/>
        </w:rPr>
        <w:t>AX</w:t>
      </w:r>
      <w:r>
        <w:rPr>
          <w:rFonts w:ascii="Times New Roman" w:hAnsi="Times New Roman" w:cs="Times New Roman"/>
          <w:sz w:val="24"/>
          <w:szCs w:val="24"/>
        </w:rPr>
        <w:t>+</w:t>
      </w:r>
      <w:r>
        <w:rPr>
          <w:rFonts w:ascii="Times New Roman" w:hAnsi="Times New Roman" w:cs="Times New Roman"/>
          <w:i/>
          <w:sz w:val="24"/>
          <w:szCs w:val="24"/>
        </w:rPr>
        <w:t>B</w:t>
      </w:r>
      <w:r>
        <w:rPr>
          <w:rFonts w:ascii="Times New Roman" w:hAnsi="Times New Roman" w:cs="Times New Roman"/>
          <w:sz w:val="24"/>
          <w:szCs w:val="24"/>
        </w:rPr>
        <w:t xml:space="preserve"> ，                       </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 xml:space="preserve">                        (3)</w:t>
      </w:r>
    </w:p>
    <w:p>
      <w:pPr>
        <w:spacing w:line="360" w:lineRule="auto"/>
        <w:rPr>
          <w:rFonts w:ascii="Times New Roman" w:hAnsi="Times New Roman" w:cs="Times New Roman"/>
          <w:sz w:val="24"/>
          <w:szCs w:val="24"/>
        </w:rPr>
      </w:pPr>
      <w:r>
        <w:rPr>
          <w:rFonts w:ascii="Times New Roman" w:hAnsi="Times New Roman" w:cs="Times New Roman"/>
          <w:sz w:val="24"/>
          <w:szCs w:val="24"/>
        </w:rPr>
        <w:t>其中，</w:t>
      </w:r>
      <w:r>
        <w:rPr>
          <w:rFonts w:ascii="Times New Roman" w:hAnsi="Times New Roman" w:cs="Times New Roman"/>
          <w:i/>
          <w:sz w:val="24"/>
          <w:szCs w:val="24"/>
        </w:rPr>
        <w:t>A</w:t>
      </w:r>
      <w:r>
        <w:rPr>
          <w:rFonts w:ascii="Times New Roman" w:hAnsi="Times New Roman" w:cs="Times New Roman"/>
          <w:sz w:val="24"/>
          <w:szCs w:val="24"/>
        </w:rPr>
        <w:t>（=</w:t>
      </w:r>
      <w:r>
        <w:rPr>
          <w:rFonts w:ascii="Times New Roman" w:hAnsi="Times New Roman" w:cs="Times New Roman"/>
          <w:i/>
          <w:sz w:val="24"/>
          <w:szCs w:val="24"/>
        </w:rPr>
        <w:t>SD_Y</w:t>
      </w:r>
      <w:r>
        <w:rPr>
          <w:rFonts w:ascii="Times New Roman" w:hAnsi="Times New Roman" w:cs="Times New Roman"/>
          <w:sz w:val="24"/>
          <w:szCs w:val="24"/>
        </w:rPr>
        <w:t>/</w:t>
      </w:r>
      <w:r>
        <w:rPr>
          <w:rFonts w:ascii="Times New Roman" w:hAnsi="Times New Roman" w:cs="Times New Roman"/>
          <w:i/>
          <w:sz w:val="24"/>
          <w:szCs w:val="24"/>
        </w:rPr>
        <w:t>SD_X</w:t>
      </w:r>
      <w:r>
        <w:rPr>
          <w:rFonts w:ascii="Times New Roman" w:hAnsi="Times New Roman" w:cs="Times New Roman"/>
          <w:sz w:val="24"/>
          <w:szCs w:val="24"/>
        </w:rPr>
        <w:t>）和</w:t>
      </w:r>
      <w:r>
        <w:rPr>
          <w:rFonts w:ascii="Times New Roman" w:hAnsi="Times New Roman" w:cs="Times New Roman"/>
          <w:b/>
          <w:sz w:val="24"/>
          <w:szCs w:val="24"/>
        </w:rPr>
        <w:t>B</w:t>
      </w:r>
      <w:r>
        <w:rPr>
          <w:rFonts w:ascii="Times New Roman" w:hAnsi="Times New Roman" w:cs="Times New Roman"/>
          <w:sz w:val="24"/>
          <w:szCs w:val="24"/>
        </w:rPr>
        <w:t>（=</w:t>
      </w:r>
      <w:r>
        <w:rPr>
          <w:rFonts w:ascii="Times New Roman" w:hAnsi="Times New Roman" w:cs="Times New Roman"/>
          <w:i/>
          <w:sz w:val="24"/>
          <w:szCs w:val="24"/>
        </w:rPr>
        <w:t>M_Y</w:t>
      </w:r>
      <w:r>
        <w:rPr>
          <w:rFonts w:ascii="Times New Roman" w:hAnsi="Times New Roman" w:cs="Times New Roman"/>
          <w:sz w:val="24"/>
          <w:szCs w:val="24"/>
        </w:rPr>
        <w:t>–(</w:t>
      </w:r>
      <w:r>
        <w:rPr>
          <w:rFonts w:ascii="Times New Roman" w:hAnsi="Times New Roman" w:cs="Times New Roman"/>
          <w:i/>
          <w:sz w:val="24"/>
          <w:szCs w:val="24"/>
        </w:rPr>
        <w:t>SD_Y</w:t>
      </w:r>
      <w:r>
        <w:rPr>
          <w:rFonts w:ascii="Times New Roman" w:hAnsi="Times New Roman" w:cs="Times New Roman"/>
          <w:sz w:val="24"/>
          <w:szCs w:val="24"/>
        </w:rPr>
        <w:t>/</w:t>
      </w:r>
      <w:r>
        <w:rPr>
          <w:rFonts w:ascii="Times New Roman" w:hAnsi="Times New Roman" w:cs="Times New Roman"/>
          <w:i/>
          <w:sz w:val="24"/>
          <w:szCs w:val="24"/>
        </w:rPr>
        <w:t>SD_X</w:t>
      </w:r>
      <w:r>
        <w:rPr>
          <w:rFonts w:ascii="Times New Roman" w:hAnsi="Times New Roman" w:cs="Times New Roman"/>
          <w:sz w:val="24"/>
          <w:szCs w:val="24"/>
        </w:rPr>
        <w:t>)</w:t>
      </w:r>
      <w:r>
        <w:rPr>
          <w:rFonts w:ascii="Times New Roman" w:hAnsi="Times New Roman" w:cs="Times New Roman"/>
          <w:i/>
          <w:sz w:val="24"/>
          <w:szCs w:val="24"/>
        </w:rPr>
        <w:t>M_X</w:t>
      </w:r>
      <w:r>
        <w:rPr>
          <w:rFonts w:ascii="Times New Roman" w:hAnsi="Times New Roman" w:cs="Times New Roman"/>
          <w:sz w:val="24"/>
          <w:szCs w:val="24"/>
        </w:rPr>
        <w:t>）被称为线性等值转换常数。</w:t>
      </w:r>
    </w:p>
    <w:p>
      <w:pPr>
        <w:spacing w:line="360" w:lineRule="auto"/>
        <w:ind w:firstLine="450"/>
        <w:rPr>
          <w:rFonts w:ascii="Times New Roman" w:hAnsi="Times New Roman" w:cs="Times New Roman"/>
          <w:sz w:val="24"/>
          <w:szCs w:val="24"/>
        </w:rPr>
      </w:pPr>
      <w:r>
        <w:rPr>
          <w:rFonts w:ascii="Times New Roman" w:hAnsi="Times New Roman" w:cs="Times New Roman"/>
          <w:sz w:val="24"/>
          <w:szCs w:val="24"/>
        </w:rPr>
        <w:t>利用上述公式，即可以把每年新高考的总分转换成所选定年份（如最初年份）分数度量系统上的“等值分数”。</w:t>
      </w:r>
    </w:p>
    <w:p>
      <w:pPr>
        <w:spacing w:line="360" w:lineRule="auto"/>
        <w:ind w:firstLine="450"/>
        <w:rPr>
          <w:rFonts w:ascii="Times New Roman" w:hAnsi="Times New Roman" w:eastAsia="宋体" w:cs="Times New Roman"/>
          <w:sz w:val="24"/>
          <w:szCs w:val="24"/>
        </w:rPr>
      </w:pPr>
    </w:p>
    <w:p>
      <w:pPr>
        <w:numPr>
          <w:numId w:val="0"/>
        </w:numPr>
        <w:spacing w:line="360" w:lineRule="auto"/>
        <w:jc w:val="center"/>
        <w:rPr>
          <w:rFonts w:ascii="Times New Roman" w:hAnsi="黑体" w:eastAsia="黑体" w:cs="Times New Roman"/>
          <w:sz w:val="24"/>
          <w:szCs w:val="24"/>
        </w:rPr>
      </w:pPr>
      <w:r>
        <w:rPr>
          <w:rFonts w:hint="eastAsia" w:ascii="Times New Roman" w:hAnsi="黑体" w:eastAsia="黑体" w:cs="Times New Roman"/>
          <w:sz w:val="24"/>
          <w:szCs w:val="24"/>
          <w:lang w:val="en-US" w:eastAsia="zh-CN"/>
        </w:rPr>
        <w:t>二、</w:t>
      </w:r>
      <w:r>
        <w:rPr>
          <w:rFonts w:ascii="Times New Roman" w:hAnsi="黑体" w:eastAsia="黑体" w:cs="Times New Roman"/>
          <w:sz w:val="24"/>
          <w:szCs w:val="24"/>
        </w:rPr>
        <w:t>利用高考成绩实施增值评价的尝试</w:t>
      </w:r>
    </w:p>
    <w:p>
      <w:pPr>
        <w:numPr>
          <w:numId w:val="0"/>
        </w:numPr>
        <w:spacing w:line="360" w:lineRule="auto"/>
        <w:jc w:val="both"/>
        <w:rPr>
          <w:rFonts w:ascii="Times New Roman" w:hAnsi="黑体" w:eastAsia="黑体" w:cs="Times New Roman"/>
          <w:sz w:val="24"/>
          <w:szCs w:val="24"/>
        </w:rPr>
      </w:pPr>
    </w:p>
    <w:p>
      <w:pPr>
        <w:spacing w:line="360" w:lineRule="auto"/>
        <w:ind w:firstLine="450"/>
        <w:rPr>
          <w:rFonts w:ascii="Times New Roman" w:hAnsi="Times New Roman" w:eastAsia="楷体" w:cs="Times New Roman"/>
          <w:sz w:val="24"/>
          <w:szCs w:val="24"/>
        </w:rPr>
      </w:pPr>
      <w:r>
        <w:rPr>
          <w:rFonts w:hint="eastAsia" w:ascii="Times New Roman" w:hAnsi="Times New Roman" w:eastAsia="楷体" w:cs="Times New Roman"/>
          <w:sz w:val="24"/>
          <w:szCs w:val="24"/>
          <w:lang w:eastAsia="zh-CN"/>
        </w:rPr>
        <w:t>（</w:t>
      </w:r>
      <w:r>
        <w:rPr>
          <w:rFonts w:hint="eastAsia" w:ascii="Times New Roman" w:hAnsi="Times New Roman" w:eastAsia="楷体" w:cs="Times New Roman"/>
          <w:sz w:val="24"/>
          <w:szCs w:val="24"/>
          <w:lang w:val="en-US" w:eastAsia="zh-CN"/>
        </w:rPr>
        <w:t>一</w:t>
      </w:r>
      <w:r>
        <w:rPr>
          <w:rFonts w:hint="eastAsia" w:ascii="Times New Roman" w:hAnsi="Times New Roman" w:eastAsia="楷体" w:cs="Times New Roman"/>
          <w:sz w:val="24"/>
          <w:szCs w:val="24"/>
          <w:lang w:eastAsia="zh-CN"/>
        </w:rPr>
        <w:t>）</w:t>
      </w:r>
      <w:r>
        <w:rPr>
          <w:rFonts w:ascii="Times New Roman" w:hAnsi="Times New Roman" w:eastAsia="楷体" w:cs="Times New Roman"/>
          <w:sz w:val="24"/>
          <w:szCs w:val="24"/>
        </w:rPr>
        <w:t>基于线性等值的增分模式的运用</w:t>
      </w:r>
    </w:p>
    <w:p>
      <w:pPr>
        <w:spacing w:line="360" w:lineRule="auto"/>
        <w:ind w:firstLine="450"/>
        <w:rPr>
          <w:rFonts w:ascii="Times New Roman" w:hAnsi="Times New Roman" w:eastAsia="宋体" w:cs="Times New Roman"/>
          <w:sz w:val="24"/>
          <w:szCs w:val="24"/>
        </w:rPr>
      </w:pPr>
      <w:r>
        <w:rPr>
          <w:rFonts w:ascii="Times New Roman" w:hAnsi="Times New Roman" w:eastAsia="宋体" w:cs="Times New Roman"/>
          <w:sz w:val="24"/>
          <w:szCs w:val="24"/>
        </w:rPr>
        <w:t>根据各省市每年公布的高考总分“一分一段分数表”，即，全省考生高考总分的频数分布表，可以推算出相应年度全省/市/区高考总分的平均值和标准差。表1是根据“一分一段分数表”推算的某省2015—2017年理工类和文史类高考平均分和标准差。</w:t>
      </w:r>
    </w:p>
    <w:p>
      <w:pPr>
        <w:spacing w:line="360" w:lineRule="auto"/>
        <w:ind w:firstLine="450"/>
        <w:jc w:val="both"/>
        <w:rPr>
          <w:rFonts w:ascii="Times New Roman" w:hAnsi="Times New Roman" w:eastAsia="宋体" w:cs="Times New Roman"/>
          <w:sz w:val="24"/>
          <w:szCs w:val="24"/>
        </w:rPr>
      </w:pPr>
      <w:r>
        <w:rPr>
          <w:rFonts w:ascii="Times New Roman" w:hAnsi="Times New Roman" w:eastAsia="宋体" w:cs="Times New Roman"/>
          <w:sz w:val="24"/>
          <w:szCs w:val="24"/>
        </w:rPr>
        <w:t>为了便于实施增值评价，选定2015年度的高考总分（</w:t>
      </w:r>
      <w:r>
        <w:rPr>
          <w:rFonts w:ascii="Times New Roman" w:hAnsi="Times New Roman" w:eastAsia="宋体" w:cs="Times New Roman"/>
          <w:i/>
          <w:sz w:val="24"/>
          <w:szCs w:val="24"/>
        </w:rPr>
        <w:t>Y</w:t>
      </w:r>
      <w:r>
        <w:rPr>
          <w:rFonts w:ascii="Times New Roman" w:hAnsi="Times New Roman" w:eastAsia="宋体" w:cs="Times New Roman"/>
          <w:sz w:val="24"/>
          <w:szCs w:val="24"/>
        </w:rPr>
        <w:t>）作为基准（理想条件下高考总分应该通常常模研发转换成标准分数或量表分数），然后利用线性等值方法确立等值常数</w:t>
      </w:r>
      <w:r>
        <w:rPr>
          <w:rFonts w:ascii="Times New Roman" w:hAnsi="Times New Roman" w:eastAsia="宋体" w:cs="Times New Roman"/>
          <w:i/>
          <w:sz w:val="24"/>
          <w:szCs w:val="24"/>
        </w:rPr>
        <w:t>A</w:t>
      </w:r>
      <w:r>
        <w:rPr>
          <w:rFonts w:ascii="Times New Roman" w:hAnsi="Times New Roman" w:eastAsia="宋体" w:cs="Times New Roman"/>
          <w:sz w:val="24"/>
          <w:szCs w:val="24"/>
        </w:rPr>
        <w:t>和</w:t>
      </w:r>
      <w:r>
        <w:rPr>
          <w:rFonts w:ascii="Times New Roman" w:hAnsi="Times New Roman" w:eastAsia="宋体" w:cs="Times New Roman"/>
          <w:i/>
          <w:sz w:val="24"/>
          <w:szCs w:val="24"/>
        </w:rPr>
        <w:t>B</w:t>
      </w:r>
      <w:r>
        <w:rPr>
          <w:rFonts w:ascii="Times New Roman" w:hAnsi="Times New Roman" w:eastAsia="宋体" w:cs="Times New Roman"/>
          <w:sz w:val="24"/>
          <w:szCs w:val="24"/>
        </w:rPr>
        <w:t>，进而分别把2016年和2017年的高考总分（</w:t>
      </w:r>
      <w:r>
        <w:rPr>
          <w:rFonts w:ascii="Times New Roman" w:hAnsi="Times New Roman" w:eastAsia="宋体" w:cs="Times New Roman"/>
          <w:i/>
          <w:sz w:val="24"/>
          <w:szCs w:val="24"/>
        </w:rPr>
        <w:t>X</w:t>
      </w:r>
      <w:r>
        <w:rPr>
          <w:rFonts w:ascii="Times New Roman" w:hAnsi="Times New Roman" w:eastAsia="宋体" w:cs="Times New Roman"/>
          <w:sz w:val="24"/>
          <w:szCs w:val="24"/>
        </w:rPr>
        <w:t>）转换为2015年度量系统的等值分数。例如，对于理工科类考生群体，2016年转换为2015年等值分数的转换常数计算如下：</w:t>
      </w:r>
    </w:p>
    <w:p>
      <w:pPr>
        <w:spacing w:line="360" w:lineRule="auto"/>
        <w:jc w:val="center"/>
        <w:rPr>
          <w:rFonts w:ascii="Times New Roman" w:hAnsi="Times New Roman" w:eastAsia="宋体" w:cs="Times New Roman"/>
          <w:sz w:val="24"/>
          <w:szCs w:val="24"/>
        </w:rPr>
      </w:pPr>
      <w:r>
        <w:rPr>
          <w:rFonts w:ascii="Times New Roman" w:hAnsi="Times New Roman" w:eastAsia="宋体" w:cs="Times New Roman"/>
          <w:i/>
          <w:sz w:val="24"/>
          <w:szCs w:val="24"/>
        </w:rPr>
        <w:t xml:space="preserve">A </w:t>
      </w:r>
      <w:r>
        <w:rPr>
          <w:rFonts w:ascii="Times New Roman" w:hAnsi="Times New Roman" w:eastAsia="宋体" w:cs="Times New Roman"/>
          <w:sz w:val="24"/>
          <w:szCs w:val="24"/>
        </w:rPr>
        <w:t xml:space="preserve">= </w:t>
      </w:r>
      <w:r>
        <w:rPr>
          <w:rFonts w:ascii="Times New Roman" w:hAnsi="Times New Roman" w:eastAsia="宋体" w:cs="Times New Roman"/>
          <w:i/>
          <w:sz w:val="24"/>
          <w:szCs w:val="24"/>
        </w:rPr>
        <w:t>SD_Y</w:t>
      </w:r>
      <w:r>
        <w:rPr>
          <w:rFonts w:ascii="Times New Roman" w:hAnsi="Times New Roman" w:eastAsia="宋体" w:cs="Times New Roman"/>
          <w:sz w:val="24"/>
          <w:szCs w:val="24"/>
        </w:rPr>
        <w:t>/</w:t>
      </w:r>
      <w:r>
        <w:rPr>
          <w:rFonts w:ascii="Times New Roman" w:hAnsi="Times New Roman" w:eastAsia="宋体" w:cs="Times New Roman"/>
          <w:i/>
          <w:sz w:val="24"/>
          <w:szCs w:val="24"/>
        </w:rPr>
        <w:t xml:space="preserve">SD_X </w:t>
      </w:r>
      <w:r>
        <w:rPr>
          <w:rFonts w:ascii="Times New Roman" w:hAnsi="Times New Roman" w:eastAsia="宋体" w:cs="Times New Roman"/>
          <w:sz w:val="24"/>
          <w:szCs w:val="24"/>
        </w:rPr>
        <w:t>= 118.56/118.94=0.9968，</w:t>
      </w:r>
    </w:p>
    <w:p>
      <w:pPr>
        <w:spacing w:line="360" w:lineRule="auto"/>
        <w:jc w:val="center"/>
        <w:rPr>
          <w:rFonts w:ascii="Times New Roman" w:hAnsi="Times New Roman" w:eastAsia="宋体" w:cs="Times New Roman"/>
          <w:sz w:val="24"/>
          <w:szCs w:val="24"/>
        </w:rPr>
      </w:pPr>
      <w:r>
        <w:rPr>
          <w:rFonts w:ascii="Times New Roman" w:hAnsi="Times New Roman" w:eastAsia="宋体" w:cs="Times New Roman"/>
          <w:i/>
          <w:sz w:val="24"/>
          <w:szCs w:val="24"/>
        </w:rPr>
        <w:t xml:space="preserve">B </w:t>
      </w:r>
      <w:r>
        <w:rPr>
          <w:rFonts w:ascii="Times New Roman" w:hAnsi="Times New Roman" w:eastAsia="宋体" w:cs="Times New Roman"/>
          <w:sz w:val="24"/>
          <w:szCs w:val="24"/>
        </w:rPr>
        <w:t xml:space="preserve">= </w:t>
      </w:r>
      <w:r>
        <w:rPr>
          <w:rFonts w:ascii="Times New Roman" w:hAnsi="Times New Roman" w:eastAsia="宋体" w:cs="Times New Roman"/>
          <w:i/>
          <w:sz w:val="24"/>
          <w:szCs w:val="24"/>
        </w:rPr>
        <w:t>M_Y</w:t>
      </w:r>
      <w:r>
        <w:rPr>
          <w:rFonts w:ascii="Times New Roman" w:hAnsi="Times New Roman" w:cs="Times New Roman"/>
          <w:sz w:val="24"/>
          <w:szCs w:val="24"/>
        </w:rPr>
        <w:t>–</w:t>
      </w:r>
      <w:r>
        <w:rPr>
          <w:rFonts w:ascii="Times New Roman" w:hAnsi="Times New Roman" w:eastAsia="宋体" w:cs="Times New Roman"/>
          <w:i/>
          <w:sz w:val="24"/>
          <w:szCs w:val="24"/>
        </w:rPr>
        <w:t>M_X</w:t>
      </w:r>
      <w:r>
        <w:rPr>
          <w:rFonts w:ascii="Times New Roman" w:hAnsi="Times New Roman" w:eastAsia="宋体" w:cs="Times New Roman"/>
          <w:sz w:val="24"/>
          <w:szCs w:val="24"/>
        </w:rPr>
        <w:t>(</w:t>
      </w:r>
      <w:r>
        <w:rPr>
          <w:rFonts w:ascii="Times New Roman" w:hAnsi="Times New Roman" w:eastAsia="宋体" w:cs="Times New Roman"/>
          <w:i/>
          <w:sz w:val="24"/>
          <w:szCs w:val="24"/>
        </w:rPr>
        <w:t>SD_Y</w:t>
      </w:r>
      <w:r>
        <w:rPr>
          <w:rFonts w:ascii="Times New Roman" w:hAnsi="Times New Roman" w:eastAsia="宋体" w:cs="Times New Roman"/>
          <w:sz w:val="24"/>
          <w:szCs w:val="24"/>
        </w:rPr>
        <w:t>/</w:t>
      </w:r>
      <w:r>
        <w:rPr>
          <w:rFonts w:ascii="Times New Roman" w:hAnsi="Times New Roman" w:eastAsia="宋体" w:cs="Times New Roman"/>
          <w:i/>
          <w:sz w:val="24"/>
          <w:szCs w:val="24"/>
        </w:rPr>
        <w:t>SD_X</w:t>
      </w:r>
      <w:r>
        <w:rPr>
          <w:rFonts w:ascii="Times New Roman" w:hAnsi="Times New Roman" w:eastAsia="宋体" w:cs="Times New Roman"/>
          <w:sz w:val="24"/>
          <w:szCs w:val="24"/>
        </w:rPr>
        <w:t>) = 432.45</w:t>
      </w:r>
      <w:r>
        <w:rPr>
          <w:rFonts w:ascii="Times New Roman" w:hAnsi="Times New Roman" w:cs="Times New Roman"/>
          <w:sz w:val="24"/>
          <w:szCs w:val="24"/>
        </w:rPr>
        <w:t>–</w:t>
      </w:r>
      <w:r>
        <w:rPr>
          <w:rFonts w:ascii="Times New Roman" w:hAnsi="Times New Roman" w:eastAsia="宋体" w:cs="Times New Roman"/>
          <w:sz w:val="24"/>
          <w:szCs w:val="24"/>
        </w:rPr>
        <w:t>425.36×(118.56/118.94) = 8.5589</w:t>
      </w:r>
    </w:p>
    <w:p>
      <w:pPr>
        <w:spacing w:line="360" w:lineRule="auto"/>
        <w:ind w:firstLine="450"/>
        <w:rPr>
          <w:rFonts w:ascii="Times New Roman" w:hAnsi="Times New Roman" w:eastAsia="宋体" w:cs="Times New Roman"/>
          <w:sz w:val="24"/>
          <w:szCs w:val="24"/>
        </w:rPr>
      </w:pPr>
      <w:r>
        <w:rPr>
          <w:rFonts w:ascii="Times New Roman" w:hAnsi="Times New Roman" w:eastAsia="宋体" w:cs="Times New Roman"/>
          <w:sz w:val="24"/>
          <w:szCs w:val="24"/>
        </w:rPr>
        <w:t>同理，理工类考生2017年度分数转换到2015年度量表上分数的线性转换常数，以及文史类的类似等值转换常数，都可以参照上述方法得到，具体结果如表1所示。</w:t>
      </w:r>
    </w:p>
    <w:p>
      <w:pPr>
        <w:spacing w:line="360" w:lineRule="auto"/>
        <w:ind w:firstLine="450"/>
        <w:rPr>
          <w:rFonts w:ascii="Times New Roman" w:hAnsi="Times New Roman" w:eastAsia="宋体" w:cs="Times New Roman"/>
          <w:sz w:val="24"/>
          <w:szCs w:val="24"/>
        </w:rPr>
      </w:pPr>
    </w:p>
    <w:p>
      <w:pPr>
        <w:spacing w:after="0" w:line="360" w:lineRule="auto"/>
        <w:ind w:firstLine="450"/>
        <w:jc w:val="center"/>
        <w:rPr>
          <w:rFonts w:ascii="Times New Roman" w:hAnsi="Times New Roman" w:eastAsia="宋体" w:cs="Times New Roman"/>
          <w:b/>
          <w:sz w:val="24"/>
          <w:szCs w:val="24"/>
        </w:rPr>
      </w:pPr>
      <w:r>
        <w:rPr>
          <w:rFonts w:ascii="Times New Roman" w:hAnsi="Times New Roman" w:eastAsia="宋体" w:cs="Times New Roman"/>
          <w:b/>
          <w:sz w:val="18"/>
          <w:szCs w:val="18"/>
        </w:rPr>
        <w:t>表1  某省2015—2017年高考总分之分布及其线性等值转换常数</w:t>
      </w:r>
    </w:p>
    <w:tbl>
      <w:tblPr>
        <w:tblStyle w:val="6"/>
        <w:tblW w:w="8472" w:type="dxa"/>
        <w:jc w:val="center"/>
        <w:tblLayout w:type="autofit"/>
        <w:tblCellMar>
          <w:top w:w="0" w:type="dxa"/>
          <w:left w:w="108" w:type="dxa"/>
          <w:bottom w:w="0" w:type="dxa"/>
          <w:right w:w="108" w:type="dxa"/>
        </w:tblCellMar>
      </w:tblPr>
      <w:tblGrid>
        <w:gridCol w:w="1016"/>
        <w:gridCol w:w="936"/>
        <w:gridCol w:w="1176"/>
        <w:gridCol w:w="1156"/>
        <w:gridCol w:w="1056"/>
        <w:gridCol w:w="1076"/>
        <w:gridCol w:w="970"/>
        <w:gridCol w:w="1146"/>
      </w:tblGrid>
      <w:tr>
        <w:tblPrEx>
          <w:tblCellMar>
            <w:top w:w="0" w:type="dxa"/>
            <w:left w:w="108" w:type="dxa"/>
            <w:bottom w:w="0" w:type="dxa"/>
            <w:right w:w="108" w:type="dxa"/>
          </w:tblCellMar>
        </w:tblPrEx>
        <w:trPr>
          <w:trHeight w:val="288" w:hRule="atLeast"/>
          <w:jc w:val="center"/>
        </w:trPr>
        <w:tc>
          <w:tcPr>
            <w:tcW w:w="1016" w:type="dxa"/>
            <w:vMerge w:val="restart"/>
            <w:tcBorders>
              <w:top w:val="single" w:color="auto" w:sz="4" w:space="0"/>
              <w:left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年度</w:t>
            </w:r>
          </w:p>
        </w:tc>
        <w:tc>
          <w:tcPr>
            <w:tcW w:w="876" w:type="dxa"/>
            <w:vMerge w:val="restart"/>
            <w:tcBorders>
              <w:top w:val="single" w:color="auto" w:sz="4" w:space="0"/>
              <w:left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宋体" w:cs="Times New Roman"/>
                <w:b/>
                <w:bCs/>
                <w:color w:val="000000"/>
                <w:sz w:val="24"/>
                <w:szCs w:val="24"/>
              </w:rPr>
              <w:t>人数</w:t>
            </w:r>
          </w:p>
        </w:tc>
        <w:tc>
          <w:tcPr>
            <w:tcW w:w="1176" w:type="dxa"/>
            <w:vMerge w:val="restart"/>
            <w:tcBorders>
              <w:top w:val="single" w:color="auto" w:sz="4" w:space="0"/>
              <w:left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宋体" w:cs="Times New Roman"/>
                <w:b/>
                <w:bCs/>
                <w:color w:val="000000"/>
                <w:sz w:val="24"/>
                <w:szCs w:val="24"/>
              </w:rPr>
              <w:t>平均值</w:t>
            </w:r>
          </w:p>
        </w:tc>
        <w:tc>
          <w:tcPr>
            <w:tcW w:w="1156" w:type="dxa"/>
            <w:vMerge w:val="restart"/>
            <w:tcBorders>
              <w:top w:val="single" w:color="auto" w:sz="4" w:space="0"/>
              <w:left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宋体" w:cs="Times New Roman"/>
                <w:b/>
                <w:bCs/>
                <w:color w:val="000000"/>
                <w:sz w:val="24"/>
                <w:szCs w:val="24"/>
              </w:rPr>
              <w:t>标准差</w:t>
            </w:r>
          </w:p>
        </w:tc>
        <w:tc>
          <w:tcPr>
            <w:tcW w:w="1056" w:type="dxa"/>
            <w:vMerge w:val="restart"/>
            <w:tcBorders>
              <w:top w:val="single" w:color="auto" w:sz="4" w:space="0"/>
              <w:left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宋体" w:cs="Times New Roman"/>
                <w:b/>
                <w:bCs/>
                <w:color w:val="000000"/>
                <w:sz w:val="24"/>
                <w:szCs w:val="24"/>
              </w:rPr>
              <w:t>最低分</w:t>
            </w:r>
          </w:p>
        </w:tc>
        <w:tc>
          <w:tcPr>
            <w:tcW w:w="1076" w:type="dxa"/>
            <w:vMerge w:val="restart"/>
            <w:tcBorders>
              <w:top w:val="single" w:color="auto" w:sz="4" w:space="0"/>
              <w:left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宋体" w:cs="Times New Roman"/>
                <w:b/>
                <w:bCs/>
                <w:color w:val="000000"/>
                <w:sz w:val="24"/>
                <w:szCs w:val="24"/>
              </w:rPr>
              <w:t>最高分</w:t>
            </w:r>
          </w:p>
        </w:tc>
        <w:tc>
          <w:tcPr>
            <w:tcW w:w="2116" w:type="dxa"/>
            <w:gridSpan w:val="2"/>
            <w:tcBorders>
              <w:top w:val="single" w:color="auto" w:sz="4" w:space="0"/>
              <w:left w:val="nil"/>
              <w:bottom w:val="single" w:color="auto" w:sz="4" w:space="0"/>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线性等值常数</w:t>
            </w:r>
          </w:p>
        </w:tc>
      </w:tr>
      <w:tr>
        <w:tblPrEx>
          <w:tblCellMar>
            <w:top w:w="0" w:type="dxa"/>
            <w:left w:w="108" w:type="dxa"/>
            <w:bottom w:w="0" w:type="dxa"/>
            <w:right w:w="108" w:type="dxa"/>
          </w:tblCellMar>
        </w:tblPrEx>
        <w:trPr>
          <w:trHeight w:val="288" w:hRule="atLeast"/>
          <w:jc w:val="center"/>
        </w:trPr>
        <w:tc>
          <w:tcPr>
            <w:tcW w:w="1016" w:type="dxa"/>
            <w:vMerge w:val="continue"/>
            <w:tcBorders>
              <w:left w:val="nil"/>
              <w:bottom w:val="single" w:color="auto" w:sz="4" w:space="0"/>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p>
        </w:tc>
        <w:tc>
          <w:tcPr>
            <w:tcW w:w="876" w:type="dxa"/>
            <w:vMerge w:val="continue"/>
            <w:tcBorders>
              <w:left w:val="nil"/>
              <w:bottom w:val="single" w:color="auto" w:sz="4" w:space="0"/>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p>
        </w:tc>
        <w:tc>
          <w:tcPr>
            <w:tcW w:w="1176" w:type="dxa"/>
            <w:vMerge w:val="continue"/>
            <w:tcBorders>
              <w:left w:val="nil"/>
              <w:bottom w:val="single" w:color="auto" w:sz="4" w:space="0"/>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p>
        </w:tc>
        <w:tc>
          <w:tcPr>
            <w:tcW w:w="1156" w:type="dxa"/>
            <w:vMerge w:val="continue"/>
            <w:tcBorders>
              <w:left w:val="nil"/>
              <w:bottom w:val="single" w:color="auto" w:sz="4" w:space="0"/>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p>
        </w:tc>
        <w:tc>
          <w:tcPr>
            <w:tcW w:w="1056" w:type="dxa"/>
            <w:vMerge w:val="continue"/>
            <w:tcBorders>
              <w:left w:val="nil"/>
              <w:bottom w:val="single" w:color="auto" w:sz="4" w:space="0"/>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p>
        </w:tc>
        <w:tc>
          <w:tcPr>
            <w:tcW w:w="1076" w:type="dxa"/>
            <w:vMerge w:val="continue"/>
            <w:tcBorders>
              <w:left w:val="nil"/>
              <w:bottom w:val="single" w:color="auto" w:sz="4" w:space="0"/>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p>
        </w:tc>
        <w:tc>
          <w:tcPr>
            <w:tcW w:w="970" w:type="dxa"/>
            <w:tcBorders>
              <w:top w:val="nil"/>
              <w:left w:val="nil"/>
              <w:bottom w:val="single" w:color="auto" w:sz="4" w:space="0"/>
              <w:right w:val="nil"/>
            </w:tcBorders>
            <w:shd w:val="clear" w:color="auto" w:fill="auto"/>
            <w:noWrap/>
            <w:vAlign w:val="center"/>
          </w:tcPr>
          <w:p>
            <w:pPr>
              <w:spacing w:after="0" w:line="240" w:lineRule="auto"/>
              <w:jc w:val="center"/>
              <w:rPr>
                <w:rFonts w:ascii="Times New Roman" w:hAnsi="Times New Roman" w:eastAsia="Times New Roman" w:cs="Times New Roman"/>
                <w:b/>
                <w:bCs/>
                <w:i/>
                <w:color w:val="000000"/>
                <w:sz w:val="24"/>
                <w:szCs w:val="24"/>
              </w:rPr>
            </w:pPr>
            <w:r>
              <w:rPr>
                <w:rFonts w:ascii="Times New Roman" w:hAnsi="Times New Roman" w:eastAsia="Times New Roman" w:cs="Times New Roman"/>
                <w:b/>
                <w:bCs/>
                <w:i/>
                <w:color w:val="000000"/>
                <w:sz w:val="24"/>
                <w:szCs w:val="24"/>
              </w:rPr>
              <w:t>A</w:t>
            </w:r>
          </w:p>
        </w:tc>
        <w:tc>
          <w:tcPr>
            <w:tcW w:w="1146" w:type="dxa"/>
            <w:tcBorders>
              <w:top w:val="nil"/>
              <w:left w:val="nil"/>
              <w:bottom w:val="single" w:color="auto" w:sz="4" w:space="0"/>
              <w:right w:val="nil"/>
            </w:tcBorders>
            <w:shd w:val="clear" w:color="auto" w:fill="auto"/>
            <w:noWrap/>
            <w:vAlign w:val="center"/>
          </w:tcPr>
          <w:p>
            <w:pPr>
              <w:spacing w:after="0" w:line="240" w:lineRule="auto"/>
              <w:jc w:val="center"/>
              <w:rPr>
                <w:rFonts w:ascii="Times New Roman" w:hAnsi="Times New Roman" w:eastAsia="Times New Roman" w:cs="Times New Roman"/>
                <w:b/>
                <w:bCs/>
                <w:i/>
                <w:color w:val="000000"/>
                <w:sz w:val="24"/>
                <w:szCs w:val="24"/>
              </w:rPr>
            </w:pPr>
            <w:r>
              <w:rPr>
                <w:rFonts w:ascii="Times New Roman" w:hAnsi="Times New Roman" w:eastAsia="Times New Roman" w:cs="Times New Roman"/>
                <w:b/>
                <w:bCs/>
                <w:i/>
                <w:color w:val="000000"/>
                <w:sz w:val="24"/>
                <w:szCs w:val="24"/>
              </w:rPr>
              <w:t>B</w:t>
            </w:r>
          </w:p>
        </w:tc>
      </w:tr>
      <w:tr>
        <w:tblPrEx>
          <w:tblCellMar>
            <w:top w:w="0" w:type="dxa"/>
            <w:left w:w="108" w:type="dxa"/>
            <w:bottom w:w="0" w:type="dxa"/>
            <w:right w:w="108" w:type="dxa"/>
          </w:tblCellMar>
        </w:tblPrEx>
        <w:trPr>
          <w:trHeight w:val="288" w:hRule="atLeast"/>
          <w:jc w:val="center"/>
        </w:trPr>
        <w:tc>
          <w:tcPr>
            <w:tcW w:w="10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理工类</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970"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4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blPrEx>
          <w:tblCellMar>
            <w:top w:w="0" w:type="dxa"/>
            <w:left w:w="108" w:type="dxa"/>
            <w:bottom w:w="0" w:type="dxa"/>
            <w:right w:w="108" w:type="dxa"/>
          </w:tblCellMar>
        </w:tblPrEx>
        <w:trPr>
          <w:trHeight w:val="288" w:hRule="atLeast"/>
          <w:jc w:val="center"/>
        </w:trPr>
        <w:tc>
          <w:tcPr>
            <w:tcW w:w="10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2015</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138859</w:t>
            </w:r>
          </w:p>
        </w:tc>
        <w:tc>
          <w:tcPr>
            <w:tcW w:w="11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432.45</w:t>
            </w:r>
          </w:p>
        </w:tc>
        <w:tc>
          <w:tcPr>
            <w:tcW w:w="11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118.56</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96</w:t>
            </w:r>
          </w:p>
        </w:tc>
        <w:tc>
          <w:tcPr>
            <w:tcW w:w="10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710</w:t>
            </w:r>
          </w:p>
        </w:tc>
        <w:tc>
          <w:tcPr>
            <w:tcW w:w="970"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1.0000</w:t>
            </w:r>
          </w:p>
        </w:tc>
        <w:tc>
          <w:tcPr>
            <w:tcW w:w="114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0.0000</w:t>
            </w:r>
          </w:p>
        </w:tc>
      </w:tr>
      <w:tr>
        <w:tblPrEx>
          <w:tblCellMar>
            <w:top w:w="0" w:type="dxa"/>
            <w:left w:w="108" w:type="dxa"/>
            <w:bottom w:w="0" w:type="dxa"/>
            <w:right w:w="108" w:type="dxa"/>
          </w:tblCellMar>
        </w:tblPrEx>
        <w:trPr>
          <w:trHeight w:val="288" w:hRule="atLeast"/>
          <w:jc w:val="center"/>
        </w:trPr>
        <w:tc>
          <w:tcPr>
            <w:tcW w:w="10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2016</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154748</w:t>
            </w:r>
          </w:p>
        </w:tc>
        <w:tc>
          <w:tcPr>
            <w:tcW w:w="11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425.26</w:t>
            </w:r>
          </w:p>
        </w:tc>
        <w:tc>
          <w:tcPr>
            <w:tcW w:w="11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118.94</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101</w:t>
            </w:r>
          </w:p>
        </w:tc>
        <w:tc>
          <w:tcPr>
            <w:tcW w:w="10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700</w:t>
            </w:r>
          </w:p>
        </w:tc>
        <w:tc>
          <w:tcPr>
            <w:tcW w:w="970"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0.9968</w:t>
            </w:r>
          </w:p>
        </w:tc>
        <w:tc>
          <w:tcPr>
            <w:tcW w:w="114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8.5589</w:t>
            </w:r>
          </w:p>
        </w:tc>
      </w:tr>
      <w:tr>
        <w:tblPrEx>
          <w:tblCellMar>
            <w:top w:w="0" w:type="dxa"/>
            <w:left w:w="108" w:type="dxa"/>
            <w:bottom w:w="0" w:type="dxa"/>
            <w:right w:w="108" w:type="dxa"/>
          </w:tblCellMar>
        </w:tblPrEx>
        <w:trPr>
          <w:trHeight w:val="288" w:hRule="atLeast"/>
          <w:jc w:val="center"/>
        </w:trPr>
        <w:tc>
          <w:tcPr>
            <w:tcW w:w="10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2017</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152127</w:t>
            </w:r>
          </w:p>
        </w:tc>
        <w:tc>
          <w:tcPr>
            <w:tcW w:w="11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406.72</w:t>
            </w:r>
          </w:p>
        </w:tc>
        <w:tc>
          <w:tcPr>
            <w:tcW w:w="11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116.97</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86</w:t>
            </w:r>
          </w:p>
        </w:tc>
        <w:tc>
          <w:tcPr>
            <w:tcW w:w="10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700</w:t>
            </w:r>
          </w:p>
        </w:tc>
        <w:tc>
          <w:tcPr>
            <w:tcW w:w="970"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1.0135</w:t>
            </w:r>
          </w:p>
        </w:tc>
        <w:tc>
          <w:tcPr>
            <w:tcW w:w="114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20.2196</w:t>
            </w:r>
          </w:p>
        </w:tc>
      </w:tr>
      <w:tr>
        <w:tblPrEx>
          <w:tblCellMar>
            <w:top w:w="0" w:type="dxa"/>
            <w:left w:w="108" w:type="dxa"/>
            <w:bottom w:w="0" w:type="dxa"/>
            <w:right w:w="108" w:type="dxa"/>
          </w:tblCellMar>
        </w:tblPrEx>
        <w:trPr>
          <w:trHeight w:val="288" w:hRule="atLeast"/>
          <w:jc w:val="center"/>
        </w:trPr>
        <w:tc>
          <w:tcPr>
            <w:tcW w:w="10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文史类</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970"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4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blPrEx>
          <w:tblCellMar>
            <w:top w:w="0" w:type="dxa"/>
            <w:left w:w="108" w:type="dxa"/>
            <w:bottom w:w="0" w:type="dxa"/>
            <w:right w:w="108" w:type="dxa"/>
          </w:tblCellMar>
        </w:tblPrEx>
        <w:trPr>
          <w:trHeight w:val="288" w:hRule="atLeast"/>
          <w:jc w:val="center"/>
        </w:trPr>
        <w:tc>
          <w:tcPr>
            <w:tcW w:w="10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2015</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75232</w:t>
            </w:r>
          </w:p>
        </w:tc>
        <w:tc>
          <w:tcPr>
            <w:tcW w:w="11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401.06</w:t>
            </w:r>
          </w:p>
        </w:tc>
        <w:tc>
          <w:tcPr>
            <w:tcW w:w="11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99.62</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111</w:t>
            </w:r>
          </w:p>
        </w:tc>
        <w:tc>
          <w:tcPr>
            <w:tcW w:w="10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637</w:t>
            </w:r>
          </w:p>
        </w:tc>
        <w:tc>
          <w:tcPr>
            <w:tcW w:w="970"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1.0000</w:t>
            </w:r>
          </w:p>
        </w:tc>
        <w:tc>
          <w:tcPr>
            <w:tcW w:w="114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0.0000</w:t>
            </w:r>
          </w:p>
        </w:tc>
      </w:tr>
      <w:tr>
        <w:tblPrEx>
          <w:tblCellMar>
            <w:top w:w="0" w:type="dxa"/>
            <w:left w:w="108" w:type="dxa"/>
            <w:bottom w:w="0" w:type="dxa"/>
            <w:right w:w="108" w:type="dxa"/>
          </w:tblCellMar>
        </w:tblPrEx>
        <w:trPr>
          <w:trHeight w:val="288" w:hRule="atLeast"/>
          <w:jc w:val="center"/>
        </w:trPr>
        <w:tc>
          <w:tcPr>
            <w:tcW w:w="10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2016</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83079</w:t>
            </w:r>
          </w:p>
        </w:tc>
        <w:tc>
          <w:tcPr>
            <w:tcW w:w="11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396.54</w:t>
            </w:r>
          </w:p>
        </w:tc>
        <w:tc>
          <w:tcPr>
            <w:tcW w:w="11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103.52</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107</w:t>
            </w:r>
          </w:p>
        </w:tc>
        <w:tc>
          <w:tcPr>
            <w:tcW w:w="10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643</w:t>
            </w:r>
          </w:p>
        </w:tc>
        <w:tc>
          <w:tcPr>
            <w:tcW w:w="970"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0.9623</w:t>
            </w:r>
          </w:p>
        </w:tc>
        <w:tc>
          <w:tcPr>
            <w:tcW w:w="114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19.4790</w:t>
            </w:r>
          </w:p>
        </w:tc>
      </w:tr>
      <w:tr>
        <w:tblPrEx>
          <w:tblCellMar>
            <w:top w:w="0" w:type="dxa"/>
            <w:left w:w="108" w:type="dxa"/>
            <w:bottom w:w="0" w:type="dxa"/>
            <w:right w:w="108" w:type="dxa"/>
          </w:tblCellMar>
        </w:tblPrEx>
        <w:trPr>
          <w:trHeight w:val="294" w:hRule="atLeast"/>
          <w:jc w:val="center"/>
        </w:trPr>
        <w:tc>
          <w:tcPr>
            <w:tcW w:w="101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2017</w:t>
            </w:r>
          </w:p>
        </w:tc>
        <w:tc>
          <w:tcPr>
            <w:tcW w:w="87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86114</w:t>
            </w:r>
          </w:p>
        </w:tc>
        <w:tc>
          <w:tcPr>
            <w:tcW w:w="117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393.28</w:t>
            </w:r>
          </w:p>
        </w:tc>
        <w:tc>
          <w:tcPr>
            <w:tcW w:w="115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111.50</w:t>
            </w:r>
          </w:p>
        </w:tc>
        <w:tc>
          <w:tcPr>
            <w:tcW w:w="105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70</w:t>
            </w:r>
          </w:p>
        </w:tc>
        <w:tc>
          <w:tcPr>
            <w:tcW w:w="107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675</w:t>
            </w:r>
          </w:p>
        </w:tc>
        <w:tc>
          <w:tcPr>
            <w:tcW w:w="970"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0.8934</w:t>
            </w:r>
          </w:p>
        </w:tc>
        <w:tc>
          <w:tcPr>
            <w:tcW w:w="114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49.7043</w:t>
            </w:r>
          </w:p>
        </w:tc>
      </w:tr>
    </w:tbl>
    <w:p>
      <w:pPr>
        <w:spacing w:line="360" w:lineRule="auto"/>
        <w:ind w:firstLine="450"/>
        <w:rPr>
          <w:rFonts w:ascii="Times New Roman" w:hAnsi="Times New Roman" w:eastAsia="宋体" w:cs="Times New Roman"/>
          <w:sz w:val="24"/>
          <w:szCs w:val="24"/>
        </w:rPr>
      </w:pPr>
    </w:p>
    <w:p>
      <w:pPr>
        <w:spacing w:line="360" w:lineRule="auto"/>
        <w:ind w:firstLine="450"/>
        <w:rPr>
          <w:rFonts w:ascii="Times New Roman" w:hAnsi="Times New Roman" w:eastAsia="宋体" w:cs="Times New Roman"/>
          <w:sz w:val="24"/>
          <w:szCs w:val="24"/>
        </w:rPr>
      </w:pPr>
      <w:r>
        <w:rPr>
          <w:rFonts w:ascii="Times New Roman" w:hAnsi="Times New Roman" w:eastAsia="宋体" w:cs="Times New Roman"/>
          <w:sz w:val="24"/>
          <w:szCs w:val="24"/>
        </w:rPr>
        <w:t>值得注意的是，在数据分析过程中，总分或任何一门科目缺考（计0分）的考生数据需要去除，因为这些数据并不是考生真实水平的反映，保留缺考考生数据或其它不正常作答者数据会增大测验等值的误差。</w:t>
      </w:r>
    </w:p>
    <w:p>
      <w:pPr>
        <w:spacing w:line="360" w:lineRule="auto"/>
        <w:ind w:firstLine="450"/>
        <w:rPr>
          <w:rFonts w:ascii="Times New Roman" w:hAnsi="Times New Roman" w:eastAsia="宋体" w:cs="Times New Roman"/>
          <w:sz w:val="24"/>
          <w:szCs w:val="24"/>
        </w:rPr>
      </w:pPr>
      <w:r>
        <w:rPr>
          <w:rFonts w:ascii="Times New Roman" w:hAnsi="Times New Roman" w:eastAsia="宋体" w:cs="Times New Roman"/>
          <w:sz w:val="24"/>
          <w:szCs w:val="24"/>
        </w:rPr>
        <w:t>根据表1中的转换常数，任何个体、或班级或学校，都可以通过线性等值公式（3），把2016和2017年度的高考总分转到2015年度的分数量表之上。表2和表3分别是4所高中2015—2017年度理工类和文史类高考总分及其等值分数。</w:t>
      </w:r>
    </w:p>
    <w:p>
      <w:pPr>
        <w:spacing w:line="360" w:lineRule="auto"/>
        <w:ind w:firstLine="450"/>
        <w:rPr>
          <w:rFonts w:ascii="Times New Roman" w:hAnsi="Times New Roman" w:eastAsia="宋体" w:cs="Times New Roman"/>
          <w:sz w:val="24"/>
          <w:szCs w:val="24"/>
        </w:rPr>
      </w:pPr>
    </w:p>
    <w:p>
      <w:pPr>
        <w:spacing w:after="0" w:line="360" w:lineRule="auto"/>
        <w:jc w:val="center"/>
        <w:rPr>
          <w:rFonts w:ascii="Times New Roman" w:hAnsi="Times New Roman" w:eastAsia="宋体" w:cs="Times New Roman"/>
          <w:b/>
          <w:sz w:val="24"/>
          <w:szCs w:val="24"/>
        </w:rPr>
      </w:pPr>
      <w:r>
        <w:rPr>
          <w:rFonts w:ascii="Times New Roman" w:hAnsi="Times New Roman" w:eastAsia="宋体" w:cs="Times New Roman"/>
          <w:b/>
          <w:sz w:val="18"/>
          <w:szCs w:val="18"/>
        </w:rPr>
        <w:t>表2   某省4所高中2015—2017年度理工类考生高考成绩及其等值分数</w:t>
      </w:r>
    </w:p>
    <w:tbl>
      <w:tblPr>
        <w:tblStyle w:val="6"/>
        <w:tblW w:w="9300" w:type="dxa"/>
        <w:tblInd w:w="108" w:type="dxa"/>
        <w:tblLayout w:type="fixed"/>
        <w:tblCellMar>
          <w:top w:w="0" w:type="dxa"/>
          <w:left w:w="108" w:type="dxa"/>
          <w:bottom w:w="0" w:type="dxa"/>
          <w:right w:w="108" w:type="dxa"/>
        </w:tblCellMar>
      </w:tblPr>
      <w:tblGrid>
        <w:gridCol w:w="1216"/>
        <w:gridCol w:w="716"/>
        <w:gridCol w:w="996"/>
        <w:gridCol w:w="1056"/>
        <w:gridCol w:w="1056"/>
        <w:gridCol w:w="876"/>
        <w:gridCol w:w="1136"/>
        <w:gridCol w:w="1144"/>
        <w:gridCol w:w="1104"/>
      </w:tblGrid>
      <w:tr>
        <w:tblPrEx>
          <w:tblCellMar>
            <w:top w:w="0" w:type="dxa"/>
            <w:left w:w="108" w:type="dxa"/>
            <w:bottom w:w="0" w:type="dxa"/>
            <w:right w:w="108" w:type="dxa"/>
          </w:tblCellMar>
        </w:tblPrEx>
        <w:trPr>
          <w:trHeight w:val="288" w:hRule="atLeast"/>
        </w:trPr>
        <w:tc>
          <w:tcPr>
            <w:tcW w:w="121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学校年度</w:t>
            </w:r>
          </w:p>
        </w:tc>
        <w:tc>
          <w:tcPr>
            <w:tcW w:w="71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宋体" w:cs="Times New Roman"/>
                <w:color w:val="000000"/>
                <w:sz w:val="24"/>
                <w:szCs w:val="24"/>
              </w:rPr>
              <w:t>人数</w:t>
            </w:r>
          </w:p>
        </w:tc>
        <w:tc>
          <w:tcPr>
            <w:tcW w:w="99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宋体" w:cs="Times New Roman"/>
                <w:color w:val="000000"/>
                <w:sz w:val="24"/>
                <w:szCs w:val="24"/>
              </w:rPr>
              <w:t>平均分</w:t>
            </w:r>
          </w:p>
        </w:tc>
        <w:tc>
          <w:tcPr>
            <w:tcW w:w="105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宋体" w:cs="Times New Roman"/>
                <w:color w:val="000000"/>
                <w:sz w:val="24"/>
                <w:szCs w:val="24"/>
              </w:rPr>
              <w:t>标准差</w:t>
            </w:r>
          </w:p>
        </w:tc>
        <w:tc>
          <w:tcPr>
            <w:tcW w:w="105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宋体" w:cs="Times New Roman"/>
                <w:color w:val="000000"/>
                <w:sz w:val="24"/>
                <w:szCs w:val="24"/>
              </w:rPr>
              <w:t>最低分</w:t>
            </w:r>
          </w:p>
        </w:tc>
        <w:tc>
          <w:tcPr>
            <w:tcW w:w="87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宋体" w:cs="Times New Roman"/>
                <w:color w:val="000000"/>
                <w:sz w:val="24"/>
                <w:szCs w:val="24"/>
              </w:rPr>
              <w:t>最高分</w:t>
            </w:r>
          </w:p>
        </w:tc>
        <w:tc>
          <w:tcPr>
            <w:tcW w:w="113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宋体" w:cs="Times New Roman"/>
                <w:color w:val="000000"/>
                <w:sz w:val="24"/>
                <w:szCs w:val="24"/>
              </w:rPr>
              <w:t>等值分数</w:t>
            </w:r>
          </w:p>
        </w:tc>
        <w:tc>
          <w:tcPr>
            <w:tcW w:w="1144"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宋体" w:cs="Times New Roman"/>
                <w:color w:val="000000"/>
                <w:sz w:val="24"/>
                <w:szCs w:val="24"/>
              </w:rPr>
              <w:t>原始分比较</w:t>
            </w:r>
          </w:p>
        </w:tc>
        <w:tc>
          <w:tcPr>
            <w:tcW w:w="1104"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宋体" w:cs="Times New Roman"/>
                <w:color w:val="000000"/>
                <w:sz w:val="24"/>
                <w:szCs w:val="24"/>
              </w:rPr>
              <w:t>等值分比较</w:t>
            </w:r>
          </w:p>
        </w:tc>
      </w:tr>
      <w:tr>
        <w:tblPrEx>
          <w:tblCellMar>
            <w:top w:w="0" w:type="dxa"/>
            <w:left w:w="108" w:type="dxa"/>
            <w:bottom w:w="0" w:type="dxa"/>
            <w:right w:w="108" w:type="dxa"/>
          </w:tblCellMar>
        </w:tblPrEx>
        <w:trPr>
          <w:trHeight w:val="288" w:hRule="atLeast"/>
        </w:trPr>
        <w:tc>
          <w:tcPr>
            <w:tcW w:w="121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YC15</w:t>
            </w:r>
          </w:p>
        </w:tc>
        <w:tc>
          <w:tcPr>
            <w:tcW w:w="71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1189</w:t>
            </w:r>
          </w:p>
        </w:tc>
        <w:tc>
          <w:tcPr>
            <w:tcW w:w="99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484.80</w:t>
            </w:r>
          </w:p>
        </w:tc>
        <w:tc>
          <w:tcPr>
            <w:tcW w:w="105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86.84</w:t>
            </w:r>
          </w:p>
        </w:tc>
        <w:tc>
          <w:tcPr>
            <w:tcW w:w="105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181</w:t>
            </w:r>
          </w:p>
        </w:tc>
        <w:tc>
          <w:tcPr>
            <w:tcW w:w="87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682</w:t>
            </w:r>
          </w:p>
        </w:tc>
        <w:tc>
          <w:tcPr>
            <w:tcW w:w="113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484.80</w:t>
            </w:r>
          </w:p>
        </w:tc>
        <w:tc>
          <w:tcPr>
            <w:tcW w:w="1144"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1104"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YC16</w:t>
            </w:r>
          </w:p>
        </w:tc>
        <w:tc>
          <w:tcPr>
            <w:tcW w:w="7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1634</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474.43</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89.29</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190</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677</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481.46</w:t>
            </w:r>
          </w:p>
        </w:tc>
        <w:tc>
          <w:tcPr>
            <w:tcW w:w="11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10.37</w:t>
            </w:r>
          </w:p>
        </w:tc>
        <w:tc>
          <w:tcPr>
            <w:tcW w:w="110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3.34</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YC17</w:t>
            </w:r>
          </w:p>
        </w:tc>
        <w:tc>
          <w:tcPr>
            <w:tcW w:w="7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1525</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452.87</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88.00</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172</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667</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479.23</w:t>
            </w:r>
          </w:p>
        </w:tc>
        <w:tc>
          <w:tcPr>
            <w:tcW w:w="11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21.56</w:t>
            </w:r>
          </w:p>
        </w:tc>
        <w:tc>
          <w:tcPr>
            <w:tcW w:w="110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2.23</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p>
        </w:tc>
        <w:tc>
          <w:tcPr>
            <w:tcW w:w="7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0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GA15</w:t>
            </w:r>
          </w:p>
        </w:tc>
        <w:tc>
          <w:tcPr>
            <w:tcW w:w="7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1454</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502.75</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78.31</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193</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698</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502.75</w:t>
            </w:r>
          </w:p>
        </w:tc>
        <w:tc>
          <w:tcPr>
            <w:tcW w:w="11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0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GA16</w:t>
            </w:r>
          </w:p>
        </w:tc>
        <w:tc>
          <w:tcPr>
            <w:tcW w:w="7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1434</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481.28</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88.34</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123</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675</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488.28</w:t>
            </w:r>
          </w:p>
        </w:tc>
        <w:tc>
          <w:tcPr>
            <w:tcW w:w="11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21.48</w:t>
            </w:r>
          </w:p>
        </w:tc>
        <w:tc>
          <w:tcPr>
            <w:tcW w:w="110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14.47</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GA17</w:t>
            </w:r>
          </w:p>
        </w:tc>
        <w:tc>
          <w:tcPr>
            <w:tcW w:w="7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1477</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458.02</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93.24</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159</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667</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484.45</w:t>
            </w:r>
          </w:p>
        </w:tc>
        <w:tc>
          <w:tcPr>
            <w:tcW w:w="11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23.25</w:t>
            </w:r>
          </w:p>
        </w:tc>
        <w:tc>
          <w:tcPr>
            <w:tcW w:w="110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3.83</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p>
        </w:tc>
        <w:tc>
          <w:tcPr>
            <w:tcW w:w="7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0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FC15</w:t>
            </w:r>
          </w:p>
        </w:tc>
        <w:tc>
          <w:tcPr>
            <w:tcW w:w="7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1945</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511.22</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68.63</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223</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684</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511.22</w:t>
            </w:r>
          </w:p>
        </w:tc>
        <w:tc>
          <w:tcPr>
            <w:tcW w:w="11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0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FC16</w:t>
            </w:r>
          </w:p>
        </w:tc>
        <w:tc>
          <w:tcPr>
            <w:tcW w:w="7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1965</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502.73</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74.73</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192</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676</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509.67</w:t>
            </w:r>
          </w:p>
        </w:tc>
        <w:tc>
          <w:tcPr>
            <w:tcW w:w="11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8.49</w:t>
            </w:r>
          </w:p>
        </w:tc>
        <w:tc>
          <w:tcPr>
            <w:tcW w:w="110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1.55</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FC17</w:t>
            </w:r>
          </w:p>
        </w:tc>
        <w:tc>
          <w:tcPr>
            <w:tcW w:w="7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2983</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474.25</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80.19</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162</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676</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500.89</w:t>
            </w:r>
          </w:p>
        </w:tc>
        <w:tc>
          <w:tcPr>
            <w:tcW w:w="11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28.48</w:t>
            </w:r>
          </w:p>
        </w:tc>
        <w:tc>
          <w:tcPr>
            <w:tcW w:w="110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8.78</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p>
        </w:tc>
        <w:tc>
          <w:tcPr>
            <w:tcW w:w="7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0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XY15</w:t>
            </w:r>
          </w:p>
        </w:tc>
        <w:tc>
          <w:tcPr>
            <w:tcW w:w="7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965</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477.05</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102.68</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139</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676</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477.05</w:t>
            </w:r>
          </w:p>
        </w:tc>
        <w:tc>
          <w:tcPr>
            <w:tcW w:w="11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0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XY16</w:t>
            </w:r>
          </w:p>
        </w:tc>
        <w:tc>
          <w:tcPr>
            <w:tcW w:w="7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1108</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473.66</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96.91</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158</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667</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480.70</w:t>
            </w:r>
          </w:p>
        </w:tc>
        <w:tc>
          <w:tcPr>
            <w:tcW w:w="11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3.39</w:t>
            </w:r>
          </w:p>
        </w:tc>
        <w:tc>
          <w:tcPr>
            <w:tcW w:w="110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3.65</w:t>
            </w:r>
          </w:p>
        </w:tc>
      </w:tr>
      <w:tr>
        <w:tblPrEx>
          <w:tblCellMar>
            <w:top w:w="0" w:type="dxa"/>
            <w:left w:w="108" w:type="dxa"/>
            <w:bottom w:w="0" w:type="dxa"/>
            <w:right w:w="108" w:type="dxa"/>
          </w:tblCellMar>
        </w:tblPrEx>
        <w:trPr>
          <w:trHeight w:val="294" w:hRule="atLeast"/>
        </w:trPr>
        <w:tc>
          <w:tcPr>
            <w:tcW w:w="121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XY17</w:t>
            </w:r>
          </w:p>
        </w:tc>
        <w:tc>
          <w:tcPr>
            <w:tcW w:w="71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971</w:t>
            </w:r>
          </w:p>
        </w:tc>
        <w:tc>
          <w:tcPr>
            <w:tcW w:w="99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461.92</w:t>
            </w:r>
          </w:p>
        </w:tc>
        <w:tc>
          <w:tcPr>
            <w:tcW w:w="105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83.83</w:t>
            </w:r>
          </w:p>
        </w:tc>
        <w:tc>
          <w:tcPr>
            <w:tcW w:w="105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132</w:t>
            </w:r>
          </w:p>
        </w:tc>
        <w:tc>
          <w:tcPr>
            <w:tcW w:w="87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660</w:t>
            </w:r>
          </w:p>
        </w:tc>
        <w:tc>
          <w:tcPr>
            <w:tcW w:w="113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488.40</w:t>
            </w:r>
          </w:p>
        </w:tc>
        <w:tc>
          <w:tcPr>
            <w:tcW w:w="1144"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11.74</w:t>
            </w:r>
          </w:p>
        </w:tc>
        <w:tc>
          <w:tcPr>
            <w:tcW w:w="1104"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7.70</w:t>
            </w:r>
          </w:p>
        </w:tc>
      </w:tr>
    </w:tbl>
    <w:p>
      <w:pPr>
        <w:spacing w:line="360" w:lineRule="auto"/>
        <w:jc w:val="both"/>
        <w:rPr>
          <w:rFonts w:ascii="Times New Roman" w:hAnsi="Times New Roman" w:eastAsia="宋体" w:cs="Times New Roman"/>
          <w:b/>
          <w:bCs/>
          <w:color w:val="000000"/>
          <w:sz w:val="24"/>
          <w:szCs w:val="24"/>
        </w:rPr>
      </w:pPr>
    </w:p>
    <w:p>
      <w:pPr>
        <w:spacing w:line="360" w:lineRule="auto"/>
        <w:ind w:firstLine="450"/>
        <w:jc w:val="both"/>
        <w:rPr>
          <w:rFonts w:ascii="Times New Roman" w:hAnsi="Times New Roman" w:eastAsia="宋体" w:cs="Times New Roman"/>
          <w:bCs/>
          <w:color w:val="000000"/>
          <w:sz w:val="24"/>
          <w:szCs w:val="24"/>
        </w:rPr>
      </w:pPr>
      <w:r>
        <w:rPr>
          <w:rFonts w:ascii="Times New Roman" w:hAnsi="Times New Roman" w:eastAsia="宋体" w:cs="Times New Roman"/>
          <w:bCs/>
          <w:color w:val="000000"/>
          <w:sz w:val="24"/>
          <w:szCs w:val="24"/>
        </w:rPr>
        <w:t>由表2 可知，若直接比较未经等值处理的年度间的高考总分，则会得出“4所学校在2015—2017年间都在退步”的增值评价。然而，事实并非如此，因为XY中学逐年都在进步（2016年比2015年增值3.65分，2017年比2016年又增值了7.70分）。同时，根据等值分数，其它3所高中的退步幅度也没有使用原始分做比较时那样触目惊心。另一方面，假若全省考生的水平在2015——2017年之间没有发生重大变化，则表1所呈现的数据表明，这三年的高考试卷难度在逐年增加，因为无论理工类还是文史类考生，连续三年的高考总分均值都在逐年下降。这就是说，直接利用高考成绩实施增值评价存在很大的犯错风险，问题的解决办法是实施测验等值。</w:t>
      </w:r>
    </w:p>
    <w:p>
      <w:pPr>
        <w:spacing w:line="360" w:lineRule="auto"/>
        <w:ind w:firstLine="450"/>
        <w:rPr>
          <w:rFonts w:ascii="Times New Roman" w:hAnsi="Times New Roman" w:eastAsia="宋体" w:cs="Times New Roman"/>
          <w:sz w:val="24"/>
          <w:szCs w:val="24"/>
        </w:rPr>
      </w:pPr>
      <w:r>
        <w:rPr>
          <w:rFonts w:ascii="Times New Roman" w:hAnsi="Times New Roman" w:eastAsia="宋体" w:cs="Times New Roman"/>
          <w:bCs/>
          <w:color w:val="000000"/>
          <w:sz w:val="24"/>
          <w:szCs w:val="24"/>
        </w:rPr>
        <w:t>表2中所蕴含有的信息也可以通过图1的方式给出直观的印象。</w:t>
      </w:r>
    </w:p>
    <w:p>
      <w:pPr>
        <w:spacing w:line="360" w:lineRule="auto"/>
        <w:ind w:firstLine="450"/>
        <w:jc w:val="center"/>
        <w:rPr>
          <w:rFonts w:ascii="Times New Roman" w:hAnsi="Times New Roman" w:eastAsia="宋体" w:cs="Times New Roman"/>
          <w:b/>
          <w:bCs/>
          <w:color w:val="000000"/>
          <w:sz w:val="24"/>
          <w:szCs w:val="24"/>
        </w:rPr>
      </w:pPr>
      <w:r>
        <w:rPr>
          <w:rFonts w:ascii="Times New Roman" w:hAnsi="Times New Roman" w:eastAsia="宋体" w:cs="Times New Roman"/>
          <w:bCs/>
          <w:color w:val="000000"/>
          <w:sz w:val="24"/>
          <w:szCs w:val="24"/>
        </w:rPr>
        <w:drawing>
          <wp:anchor distT="0" distB="0" distL="114300" distR="114300" simplePos="0" relativeHeight="251659264" behindDoc="0" locked="0" layoutInCell="1" allowOverlap="1">
            <wp:simplePos x="0" y="0"/>
            <wp:positionH relativeFrom="column">
              <wp:posOffset>29845</wp:posOffset>
            </wp:positionH>
            <wp:positionV relativeFrom="paragraph">
              <wp:posOffset>10795</wp:posOffset>
            </wp:positionV>
            <wp:extent cx="5724525" cy="2362200"/>
            <wp:effectExtent l="19050" t="0" r="9525" b="0"/>
            <wp:wrapTopAndBottom/>
            <wp:docPr id="3" name="图片 1" descr="C:\Users\dell\AppData\Local\Temp\WeChat Files\07eb909a953fd33b1ab73c1da4bd2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dell\AppData\Local\Temp\WeChat Files\07eb909a953fd33b1ab73c1da4bd280.png"/>
                    <pic:cNvPicPr>
                      <a:picLocks noChangeAspect="1" noChangeArrowheads="1"/>
                    </pic:cNvPicPr>
                  </pic:nvPicPr>
                  <pic:blipFill>
                    <a:blip r:embed="rId7" cstate="print"/>
                    <a:srcRect b="15646"/>
                    <a:stretch>
                      <a:fillRect/>
                    </a:stretch>
                  </pic:blipFill>
                  <pic:spPr>
                    <a:xfrm>
                      <a:off x="0" y="0"/>
                      <a:ext cx="5724525" cy="2362200"/>
                    </a:xfrm>
                    <a:prstGeom prst="rect">
                      <a:avLst/>
                    </a:prstGeom>
                    <a:noFill/>
                    <a:ln w="9525">
                      <a:noFill/>
                      <a:miter lim="800000"/>
                      <a:headEnd/>
                      <a:tailEnd/>
                    </a:ln>
                  </pic:spPr>
                </pic:pic>
              </a:graphicData>
            </a:graphic>
          </wp:anchor>
        </w:drawing>
      </w:r>
      <w:r>
        <w:rPr>
          <w:rFonts w:ascii="Times New Roman" w:hAnsi="宋体" w:eastAsia="宋体" w:cs="Times New Roman"/>
          <w:b w:val="0"/>
          <w:bCs w:val="0"/>
          <w:color w:val="000000"/>
          <w:sz w:val="18"/>
          <w:szCs w:val="18"/>
        </w:rPr>
        <w:t>图</w:t>
      </w:r>
      <w:r>
        <w:rPr>
          <w:rFonts w:ascii="Times New Roman" w:hAnsi="Times New Roman" w:eastAsia="宋体" w:cs="Times New Roman"/>
          <w:b w:val="0"/>
          <w:bCs w:val="0"/>
          <w:color w:val="000000"/>
          <w:sz w:val="18"/>
          <w:szCs w:val="18"/>
        </w:rPr>
        <w:t xml:space="preserve">1  </w:t>
      </w:r>
      <w:r>
        <w:rPr>
          <w:rFonts w:hint="eastAsia" w:ascii="Times New Roman" w:hAnsi="Times New Roman" w:eastAsia="宋体" w:cs="Times New Roman"/>
          <w:b w:val="0"/>
          <w:bCs w:val="0"/>
          <w:color w:val="000000"/>
          <w:sz w:val="18"/>
          <w:szCs w:val="18"/>
        </w:rPr>
        <w:t xml:space="preserve"> </w:t>
      </w:r>
      <w:r>
        <w:rPr>
          <w:rFonts w:ascii="Times New Roman" w:hAnsi="宋体" w:eastAsia="宋体" w:cs="Times New Roman"/>
          <w:b w:val="0"/>
          <w:bCs w:val="0"/>
          <w:color w:val="000000"/>
          <w:sz w:val="18"/>
          <w:szCs w:val="18"/>
        </w:rPr>
        <w:t>某省</w:t>
      </w:r>
      <w:r>
        <w:rPr>
          <w:rFonts w:ascii="Times New Roman" w:hAnsi="Times New Roman" w:eastAsia="宋体" w:cs="Times New Roman"/>
          <w:b w:val="0"/>
          <w:bCs w:val="0"/>
          <w:color w:val="000000"/>
          <w:sz w:val="18"/>
          <w:szCs w:val="18"/>
        </w:rPr>
        <w:t>4</w:t>
      </w:r>
      <w:r>
        <w:rPr>
          <w:rFonts w:ascii="Times New Roman" w:hAnsi="宋体" w:eastAsia="宋体" w:cs="Times New Roman"/>
          <w:b w:val="0"/>
          <w:bCs w:val="0"/>
          <w:color w:val="000000"/>
          <w:sz w:val="18"/>
          <w:szCs w:val="18"/>
        </w:rPr>
        <w:t>所高中理工类考生</w:t>
      </w:r>
      <w:r>
        <w:rPr>
          <w:rFonts w:ascii="Times New Roman" w:hAnsi="Times New Roman" w:eastAsia="宋体" w:cs="Times New Roman"/>
          <w:b w:val="0"/>
          <w:bCs w:val="0"/>
          <w:color w:val="000000"/>
          <w:sz w:val="18"/>
          <w:szCs w:val="18"/>
        </w:rPr>
        <w:t>2015—2017</w:t>
      </w:r>
      <w:r>
        <w:rPr>
          <w:rFonts w:ascii="Times New Roman" w:hAnsi="宋体" w:eastAsia="宋体" w:cs="Times New Roman"/>
          <w:b w:val="0"/>
          <w:bCs w:val="0"/>
          <w:color w:val="000000"/>
          <w:sz w:val="18"/>
          <w:szCs w:val="18"/>
        </w:rPr>
        <w:t>年的高考等值成绩</w:t>
      </w:r>
    </w:p>
    <w:p>
      <w:pPr>
        <w:spacing w:line="360" w:lineRule="auto"/>
        <w:ind w:firstLine="450"/>
        <w:jc w:val="both"/>
        <w:rPr>
          <w:rFonts w:ascii="Times New Roman" w:hAnsi="Times New Roman" w:eastAsia="宋体" w:cs="Times New Roman"/>
          <w:sz w:val="24"/>
          <w:szCs w:val="24"/>
        </w:rPr>
      </w:pPr>
      <w:r>
        <w:rPr>
          <w:rFonts w:ascii="Times New Roman" w:hAnsi="Times New Roman" w:eastAsia="宋体" w:cs="Times New Roman"/>
          <w:sz w:val="24"/>
          <w:szCs w:val="24"/>
        </w:rPr>
        <w:t>由图1可知，XY中学的增值幅度十分明显，GA中学在2015到2016年之间退步很大，FC中学在2016年到2017年之间退步幅度也大，YC中学在三年之间一直在缓慢退步。</w:t>
      </w:r>
    </w:p>
    <w:p>
      <w:pPr>
        <w:spacing w:line="360" w:lineRule="auto"/>
        <w:ind w:firstLine="450"/>
        <w:jc w:val="both"/>
        <w:rPr>
          <w:rFonts w:ascii="Times New Roman" w:hAnsi="Times New Roman" w:eastAsia="宋体" w:cs="Times New Roman"/>
          <w:sz w:val="24"/>
          <w:szCs w:val="24"/>
        </w:rPr>
      </w:pPr>
      <w:r>
        <w:rPr>
          <w:rFonts w:ascii="Times New Roman" w:hAnsi="Times New Roman" w:eastAsia="宋体" w:cs="Times New Roman"/>
          <w:sz w:val="24"/>
          <w:szCs w:val="24"/>
        </w:rPr>
        <w:t>与此类似，我们对这4所高中文史类考生在2015—2017年之间的高考成绩也做了增值评价，其结果报告在表3和图2之中。</w:t>
      </w:r>
    </w:p>
    <w:p>
      <w:pPr>
        <w:spacing w:line="360" w:lineRule="auto"/>
        <w:ind w:firstLine="450"/>
        <w:jc w:val="both"/>
        <w:rPr>
          <w:rFonts w:ascii="Times New Roman" w:hAnsi="Times New Roman" w:eastAsia="宋体" w:cs="Times New Roman"/>
          <w:sz w:val="24"/>
          <w:szCs w:val="24"/>
        </w:rPr>
      </w:pPr>
    </w:p>
    <w:p>
      <w:pPr>
        <w:spacing w:after="0" w:line="360" w:lineRule="auto"/>
        <w:jc w:val="center"/>
        <w:rPr>
          <w:rFonts w:ascii="Times New Roman" w:hAnsi="Times New Roman" w:eastAsia="宋体" w:cs="Times New Roman"/>
          <w:b/>
          <w:sz w:val="18"/>
          <w:szCs w:val="18"/>
        </w:rPr>
      </w:pPr>
      <w:r>
        <w:rPr>
          <w:rFonts w:ascii="Times New Roman" w:hAnsi="Times New Roman" w:eastAsia="宋体" w:cs="Times New Roman"/>
          <w:b/>
          <w:sz w:val="18"/>
          <w:szCs w:val="18"/>
        </w:rPr>
        <w:t>表3  某省4所高中2015—2017年度文史类考生高考成绩及其等值分数的比较</w:t>
      </w:r>
    </w:p>
    <w:tbl>
      <w:tblPr>
        <w:tblStyle w:val="6"/>
        <w:tblW w:w="9348" w:type="dxa"/>
        <w:tblInd w:w="108" w:type="dxa"/>
        <w:tblLayout w:type="fixed"/>
        <w:tblCellMar>
          <w:top w:w="0" w:type="dxa"/>
          <w:left w:w="108" w:type="dxa"/>
          <w:bottom w:w="0" w:type="dxa"/>
          <w:right w:w="108" w:type="dxa"/>
        </w:tblCellMar>
      </w:tblPr>
      <w:tblGrid>
        <w:gridCol w:w="1216"/>
        <w:gridCol w:w="876"/>
        <w:gridCol w:w="996"/>
        <w:gridCol w:w="1056"/>
        <w:gridCol w:w="1056"/>
        <w:gridCol w:w="876"/>
        <w:gridCol w:w="1136"/>
        <w:gridCol w:w="1044"/>
        <w:gridCol w:w="1092"/>
      </w:tblGrid>
      <w:tr>
        <w:tblPrEx>
          <w:tblCellMar>
            <w:top w:w="0" w:type="dxa"/>
            <w:left w:w="108" w:type="dxa"/>
            <w:bottom w:w="0" w:type="dxa"/>
            <w:right w:w="108" w:type="dxa"/>
          </w:tblCellMar>
        </w:tblPrEx>
        <w:trPr>
          <w:trHeight w:val="288" w:hRule="atLeast"/>
        </w:trPr>
        <w:tc>
          <w:tcPr>
            <w:tcW w:w="121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学校年度</w:t>
            </w:r>
          </w:p>
        </w:tc>
        <w:tc>
          <w:tcPr>
            <w:tcW w:w="87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人数</w:t>
            </w:r>
          </w:p>
        </w:tc>
        <w:tc>
          <w:tcPr>
            <w:tcW w:w="99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平均分</w:t>
            </w:r>
          </w:p>
        </w:tc>
        <w:tc>
          <w:tcPr>
            <w:tcW w:w="105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标准差</w:t>
            </w:r>
          </w:p>
        </w:tc>
        <w:tc>
          <w:tcPr>
            <w:tcW w:w="105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最低分</w:t>
            </w:r>
          </w:p>
        </w:tc>
        <w:tc>
          <w:tcPr>
            <w:tcW w:w="87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最高分</w:t>
            </w:r>
          </w:p>
        </w:tc>
        <w:tc>
          <w:tcPr>
            <w:tcW w:w="113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等值分数</w:t>
            </w:r>
          </w:p>
        </w:tc>
        <w:tc>
          <w:tcPr>
            <w:tcW w:w="1044"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原始分比较</w:t>
            </w:r>
          </w:p>
        </w:tc>
        <w:tc>
          <w:tcPr>
            <w:tcW w:w="1092"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宋体" w:cs="Times New Roman"/>
                <w:b/>
                <w:bCs/>
                <w:color w:val="000000"/>
                <w:sz w:val="24"/>
                <w:szCs w:val="24"/>
              </w:rPr>
              <w:t>等值分比较</w:t>
            </w:r>
          </w:p>
        </w:tc>
      </w:tr>
      <w:tr>
        <w:tblPrEx>
          <w:tblCellMar>
            <w:top w:w="0" w:type="dxa"/>
            <w:left w:w="108" w:type="dxa"/>
            <w:bottom w:w="0" w:type="dxa"/>
            <w:right w:w="108" w:type="dxa"/>
          </w:tblCellMar>
        </w:tblPrEx>
        <w:trPr>
          <w:trHeight w:val="288" w:hRule="atLeast"/>
        </w:trPr>
        <w:tc>
          <w:tcPr>
            <w:tcW w:w="121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YC15</w:t>
            </w:r>
          </w:p>
        </w:tc>
        <w:tc>
          <w:tcPr>
            <w:tcW w:w="87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727</w:t>
            </w:r>
          </w:p>
        </w:tc>
        <w:tc>
          <w:tcPr>
            <w:tcW w:w="99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462.55</w:t>
            </w:r>
          </w:p>
        </w:tc>
        <w:tc>
          <w:tcPr>
            <w:tcW w:w="105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78.01</w:t>
            </w:r>
          </w:p>
        </w:tc>
        <w:tc>
          <w:tcPr>
            <w:tcW w:w="105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191</w:t>
            </w:r>
          </w:p>
        </w:tc>
        <w:tc>
          <w:tcPr>
            <w:tcW w:w="87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609</w:t>
            </w:r>
          </w:p>
        </w:tc>
        <w:tc>
          <w:tcPr>
            <w:tcW w:w="1136"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462.55</w:t>
            </w:r>
          </w:p>
        </w:tc>
        <w:tc>
          <w:tcPr>
            <w:tcW w:w="1044"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1092" w:type="dxa"/>
            <w:tcBorders>
              <w:top w:val="single" w:color="auto" w:sz="4" w:space="0"/>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YC16</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812</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464.12</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79.78</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194</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609</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466.09</w:t>
            </w:r>
          </w:p>
        </w:tc>
        <w:tc>
          <w:tcPr>
            <w:tcW w:w="10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1.57</w:t>
            </w:r>
          </w:p>
        </w:tc>
        <w:tc>
          <w:tcPr>
            <w:tcW w:w="1092"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3.53</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YC17</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724</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462.87</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85.52</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137</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635</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463.23</w:t>
            </w:r>
          </w:p>
        </w:tc>
        <w:tc>
          <w:tcPr>
            <w:tcW w:w="10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1.25</w:t>
            </w:r>
          </w:p>
        </w:tc>
        <w:tc>
          <w:tcPr>
            <w:tcW w:w="1092"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2.86</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92"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GA15</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874</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470.83</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83.19</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158</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634</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470.83</w:t>
            </w:r>
          </w:p>
        </w:tc>
        <w:tc>
          <w:tcPr>
            <w:tcW w:w="10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92"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GA16</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794</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462.37</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85.26</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162</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627</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464.41</w:t>
            </w:r>
          </w:p>
        </w:tc>
        <w:tc>
          <w:tcPr>
            <w:tcW w:w="10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8.46</w:t>
            </w:r>
          </w:p>
        </w:tc>
        <w:tc>
          <w:tcPr>
            <w:tcW w:w="1092"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6.42</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GA17</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752</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461.27</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99.26</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156</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641</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461.80</w:t>
            </w:r>
          </w:p>
        </w:tc>
        <w:tc>
          <w:tcPr>
            <w:tcW w:w="10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1.11</w:t>
            </w:r>
          </w:p>
        </w:tc>
        <w:tc>
          <w:tcPr>
            <w:tcW w:w="1092"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2.61</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92"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FC15</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782</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490.82</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52.97</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178</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616</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490.82</w:t>
            </w:r>
          </w:p>
        </w:tc>
        <w:tc>
          <w:tcPr>
            <w:tcW w:w="10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92"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FC16</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1058</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483.08</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68.20</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155</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624</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484.34</w:t>
            </w:r>
          </w:p>
        </w:tc>
        <w:tc>
          <w:tcPr>
            <w:tcW w:w="10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7.73</w:t>
            </w:r>
          </w:p>
        </w:tc>
        <w:tc>
          <w:tcPr>
            <w:tcW w:w="1092"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6.48</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FC17</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1819</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485.79</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75.07</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106</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675</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483.71</w:t>
            </w:r>
          </w:p>
        </w:tc>
        <w:tc>
          <w:tcPr>
            <w:tcW w:w="10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2.71</w:t>
            </w:r>
          </w:p>
        </w:tc>
        <w:tc>
          <w:tcPr>
            <w:tcW w:w="1092"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cs="Times New Roman"/>
                <w:sz w:val="24"/>
                <w:szCs w:val="24"/>
              </w:rPr>
              <w:t>-</w:t>
            </w:r>
            <w:r>
              <w:rPr>
                <w:rFonts w:ascii="Times New Roman" w:hAnsi="Times New Roman" w:eastAsia="Times New Roman" w:cs="Times New Roman"/>
                <w:color w:val="000000"/>
                <w:sz w:val="24"/>
                <w:szCs w:val="24"/>
              </w:rPr>
              <w:t>0.63</w:t>
            </w: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92"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XY15</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608</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445.40</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91.56</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184</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622</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445.40</w:t>
            </w:r>
          </w:p>
        </w:tc>
        <w:tc>
          <w:tcPr>
            <w:tcW w:w="10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c>
          <w:tcPr>
            <w:tcW w:w="1092"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p>
        </w:tc>
      </w:tr>
      <w:tr>
        <w:tblPrEx>
          <w:tblCellMar>
            <w:top w:w="0" w:type="dxa"/>
            <w:left w:w="108" w:type="dxa"/>
            <w:bottom w:w="0" w:type="dxa"/>
            <w:right w:w="108" w:type="dxa"/>
          </w:tblCellMar>
        </w:tblPrEx>
        <w:trPr>
          <w:trHeight w:val="288" w:hRule="atLeast"/>
        </w:trPr>
        <w:tc>
          <w:tcPr>
            <w:tcW w:w="121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XY16</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737</w:t>
            </w:r>
          </w:p>
        </w:tc>
        <w:tc>
          <w:tcPr>
            <w:tcW w:w="99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458.04</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83.27</w:t>
            </w:r>
          </w:p>
        </w:tc>
        <w:tc>
          <w:tcPr>
            <w:tcW w:w="105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209</w:t>
            </w:r>
          </w:p>
        </w:tc>
        <w:tc>
          <w:tcPr>
            <w:tcW w:w="87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643</w:t>
            </w:r>
          </w:p>
        </w:tc>
        <w:tc>
          <w:tcPr>
            <w:tcW w:w="1136"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460.24</w:t>
            </w:r>
          </w:p>
        </w:tc>
        <w:tc>
          <w:tcPr>
            <w:tcW w:w="1044"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12.65</w:t>
            </w:r>
          </w:p>
        </w:tc>
        <w:tc>
          <w:tcPr>
            <w:tcW w:w="1092" w:type="dxa"/>
            <w:tcBorders>
              <w:top w:val="nil"/>
              <w:left w:val="nil"/>
              <w:bottom w:val="nil"/>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14.84</w:t>
            </w:r>
          </w:p>
        </w:tc>
      </w:tr>
      <w:tr>
        <w:tblPrEx>
          <w:tblCellMar>
            <w:top w:w="0" w:type="dxa"/>
            <w:left w:w="108" w:type="dxa"/>
            <w:bottom w:w="0" w:type="dxa"/>
            <w:right w:w="108" w:type="dxa"/>
          </w:tblCellMar>
        </w:tblPrEx>
        <w:trPr>
          <w:trHeight w:val="294" w:hRule="atLeast"/>
        </w:trPr>
        <w:tc>
          <w:tcPr>
            <w:tcW w:w="121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XY17</w:t>
            </w:r>
          </w:p>
        </w:tc>
        <w:tc>
          <w:tcPr>
            <w:tcW w:w="87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499</w:t>
            </w:r>
          </w:p>
        </w:tc>
        <w:tc>
          <w:tcPr>
            <w:tcW w:w="99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471.21</w:t>
            </w:r>
          </w:p>
        </w:tc>
        <w:tc>
          <w:tcPr>
            <w:tcW w:w="105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84.62</w:t>
            </w:r>
          </w:p>
        </w:tc>
        <w:tc>
          <w:tcPr>
            <w:tcW w:w="105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148</w:t>
            </w:r>
          </w:p>
        </w:tc>
        <w:tc>
          <w:tcPr>
            <w:tcW w:w="87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646</w:t>
            </w:r>
          </w:p>
        </w:tc>
        <w:tc>
          <w:tcPr>
            <w:tcW w:w="1136"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470.68</w:t>
            </w:r>
          </w:p>
        </w:tc>
        <w:tc>
          <w:tcPr>
            <w:tcW w:w="1044"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13.17</w:t>
            </w:r>
          </w:p>
        </w:tc>
        <w:tc>
          <w:tcPr>
            <w:tcW w:w="1092" w:type="dxa"/>
            <w:tcBorders>
              <w:top w:val="nil"/>
              <w:left w:val="nil"/>
              <w:bottom w:val="single" w:color="auto" w:sz="8" w:space="0"/>
              <w:right w:val="nil"/>
            </w:tcBorders>
            <w:shd w:val="clear" w:color="auto" w:fill="auto"/>
            <w:noWrap/>
            <w:vAlign w:val="center"/>
          </w:tcPr>
          <w:p>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10.44</w:t>
            </w:r>
          </w:p>
        </w:tc>
      </w:tr>
    </w:tbl>
    <w:p>
      <w:pPr>
        <w:spacing w:line="360" w:lineRule="auto"/>
        <w:rPr>
          <w:rFonts w:ascii="Times New Roman" w:hAnsi="Times New Roman" w:eastAsia="黑体" w:cs="Times New Roman"/>
          <w:sz w:val="24"/>
          <w:szCs w:val="24"/>
        </w:rPr>
      </w:pPr>
      <w:r>
        <w:rPr>
          <w:rFonts w:ascii="Times New Roman" w:hAnsi="Times New Roman" w:eastAsia="宋体" w:cs="Times New Roman"/>
          <w:sz w:val="24"/>
          <w:szCs w:val="24"/>
        </w:rPr>
        <w:t>（以下内容略）</w:t>
      </w:r>
    </w:p>
    <w:p>
      <w:pPr>
        <w:spacing w:line="360" w:lineRule="auto"/>
        <w:jc w:val="center"/>
        <w:rPr>
          <w:rFonts w:ascii="Times New Roman" w:hAnsi="Times New Roman" w:eastAsia="黑体" w:cs="Times New Roman"/>
          <w:sz w:val="24"/>
          <w:szCs w:val="24"/>
        </w:rPr>
      </w:pPr>
    </w:p>
    <w:p>
      <w:pPr>
        <w:spacing w:line="360" w:lineRule="auto"/>
        <w:jc w:val="center"/>
        <w:rPr>
          <w:rFonts w:ascii="Times New Roman" w:hAnsi="Times New Roman" w:eastAsia="黑体" w:cs="Times New Roman"/>
          <w:sz w:val="24"/>
          <w:szCs w:val="24"/>
        </w:rPr>
      </w:pPr>
      <w:r>
        <w:rPr>
          <w:rFonts w:ascii="Times New Roman" w:hAnsi="Times New Roman" w:eastAsia="黑体" w:cs="Times New Roman"/>
          <w:sz w:val="24"/>
          <w:szCs w:val="24"/>
        </w:rPr>
        <w:t>三、启示与建议</w:t>
      </w:r>
    </w:p>
    <w:p>
      <w:pPr>
        <w:spacing w:line="360" w:lineRule="auto"/>
        <w:jc w:val="center"/>
        <w:rPr>
          <w:rFonts w:ascii="Times New Roman" w:hAnsi="Times New Roman" w:eastAsia="黑体" w:cs="Times New Roman"/>
          <w:sz w:val="24"/>
          <w:szCs w:val="24"/>
        </w:rPr>
      </w:pPr>
    </w:p>
    <w:p>
      <w:pPr>
        <w:adjustRightInd w:val="0"/>
        <w:snapToGrid w:val="0"/>
        <w:spacing w:after="0" w:line="360" w:lineRule="auto"/>
        <w:ind w:firstLine="480" w:firstLineChars="200"/>
        <w:jc w:val="both"/>
        <w:rPr>
          <w:rFonts w:ascii="Times New Roman" w:hAnsi="Times New Roman" w:eastAsia="宋体" w:cs="Times New Roman"/>
          <w:sz w:val="24"/>
          <w:szCs w:val="24"/>
        </w:rPr>
      </w:pPr>
      <w:r>
        <w:rPr>
          <w:rFonts w:ascii="Times New Roman" w:hAnsi="Times New Roman" w:eastAsia="宋体" w:cs="Times New Roman"/>
          <w:sz w:val="24"/>
          <w:szCs w:val="24"/>
        </w:rPr>
        <w:t>根据上述研究，我们可以得到以下几点启示或建议。</w:t>
      </w:r>
    </w:p>
    <w:p>
      <w:pPr>
        <w:adjustRightInd w:val="0"/>
        <w:snapToGrid w:val="0"/>
        <w:spacing w:after="0" w:line="360" w:lineRule="auto"/>
        <w:ind w:firstLine="480" w:firstLineChars="200"/>
        <w:jc w:val="both"/>
        <w:rPr>
          <w:rFonts w:ascii="Times New Roman" w:hAnsi="Times New Roman" w:eastAsia="宋体" w:cs="Times New Roman"/>
          <w:sz w:val="24"/>
          <w:szCs w:val="24"/>
        </w:rPr>
      </w:pPr>
      <w:r>
        <w:rPr>
          <w:rFonts w:ascii="Times New Roman" w:hAnsi="Times New Roman" w:eastAsia="宋体" w:cs="Times New Roman"/>
          <w:sz w:val="24"/>
          <w:szCs w:val="24"/>
        </w:rPr>
        <w:t>第一，直接使用高考原始总分做增值评价很可能犯错并导致不公平后果。事实表明，表面上的“退步”未必是真实情况的反映（如XY中学2015—2017高考的原始总分退步了而相应的等值总分进步了）。即，直接比较跨年度的高考原始总分很可能做出错误的增值评价结论，这种评价既不利于学生的成长，也不利于教育教学工作的改进，而且给教育教学工作带来重大负面干扰。</w:t>
      </w:r>
    </w:p>
    <w:p>
      <w:pPr>
        <w:adjustRightInd w:val="0"/>
        <w:snapToGrid w:val="0"/>
        <w:spacing w:after="0" w:line="360" w:lineRule="auto"/>
        <w:ind w:firstLine="480" w:firstLineChars="200"/>
        <w:jc w:val="both"/>
        <w:rPr>
          <w:rFonts w:ascii="Times New Roman" w:hAnsi="Times New Roman" w:eastAsia="宋体" w:cs="Times New Roman"/>
          <w:sz w:val="24"/>
          <w:szCs w:val="24"/>
        </w:rPr>
      </w:pPr>
      <w:r>
        <w:rPr>
          <w:rFonts w:ascii="Times New Roman" w:hAnsi="Times New Roman" w:eastAsia="宋体" w:cs="Times New Roman"/>
          <w:sz w:val="24"/>
          <w:szCs w:val="24"/>
        </w:rPr>
        <w:t>第二，高考总分是可以通过等值处理等办法为增值评价提供有力证据的。这种增值评价，不仅对学生个体的选拔和教学指导具有重要意义，而且对班级、学校、地区等的进步或退步情况可以提供准确的有用信息。</w:t>
      </w:r>
    </w:p>
    <w:p>
      <w:pPr>
        <w:adjustRightInd w:val="0"/>
        <w:snapToGrid w:val="0"/>
        <w:spacing w:after="0" w:line="360" w:lineRule="auto"/>
        <w:ind w:firstLine="480" w:firstLineChars="200"/>
        <w:jc w:val="both"/>
        <w:rPr>
          <w:rFonts w:ascii="Times New Roman" w:hAnsi="Times New Roman" w:eastAsia="宋体" w:cs="Times New Roman"/>
          <w:sz w:val="24"/>
          <w:szCs w:val="24"/>
        </w:rPr>
      </w:pPr>
      <w:r>
        <w:rPr>
          <w:rFonts w:ascii="Times New Roman" w:hAnsi="Times New Roman" w:eastAsia="宋体" w:cs="Times New Roman"/>
          <w:sz w:val="24"/>
          <w:szCs w:val="24"/>
        </w:rPr>
        <w:t>第三，利用高考成绩做增值评价的关键是充分挖掘各省/市/区公布的各种高考信息，特别是用好“一分一段分数表”做好测验等值工作。在当前条件下，均值/标准差线性等值方法和等百分位等值方法具有简单、有效的良好表现。</w:t>
      </w:r>
    </w:p>
    <w:p>
      <w:pPr>
        <w:adjustRightInd w:val="0"/>
        <w:snapToGrid w:val="0"/>
        <w:spacing w:after="0" w:line="360" w:lineRule="auto"/>
        <w:ind w:firstLine="480" w:firstLineChars="200"/>
        <w:jc w:val="both"/>
        <w:rPr>
          <w:rFonts w:ascii="Times New Roman" w:hAnsi="Times New Roman" w:eastAsia="宋体" w:cs="Times New Roman"/>
          <w:sz w:val="24"/>
          <w:szCs w:val="24"/>
        </w:rPr>
      </w:pPr>
      <w:r>
        <w:rPr>
          <w:rFonts w:ascii="Times New Roman" w:hAnsi="Times New Roman" w:eastAsia="宋体" w:cs="Times New Roman"/>
          <w:sz w:val="24"/>
          <w:szCs w:val="24"/>
        </w:rPr>
        <w:t>第四，需要核查实施测验等值的前提条件。这些条件包括（但不限于）：</w:t>
      </w:r>
      <w:r>
        <w:rPr>
          <w:rFonts w:ascii="宋体" w:hAnsi="Times New Roman" w:eastAsia="宋体" w:cs="Times New Roman"/>
          <w:sz w:val="24"/>
          <w:szCs w:val="24"/>
        </w:rPr>
        <w:t>①</w:t>
      </w:r>
      <w:r>
        <w:rPr>
          <w:rFonts w:ascii="Times New Roman" w:hAnsi="Times New Roman" w:eastAsia="宋体" w:cs="Times New Roman"/>
          <w:sz w:val="24"/>
          <w:szCs w:val="24"/>
        </w:rPr>
        <w:t>同一个省/市/区相邻年度之间的考生水平没有太大的变化；</w:t>
      </w:r>
      <w:r>
        <w:rPr>
          <w:rFonts w:ascii="宋体" w:hAnsi="Times New Roman" w:eastAsia="宋体" w:cs="Times New Roman"/>
          <w:sz w:val="24"/>
          <w:szCs w:val="24"/>
        </w:rPr>
        <w:t>②</w:t>
      </w:r>
      <w:r>
        <w:rPr>
          <w:rFonts w:ascii="Times New Roman" w:hAnsi="Times New Roman" w:eastAsia="宋体" w:cs="Times New Roman"/>
          <w:sz w:val="24"/>
          <w:szCs w:val="24"/>
        </w:rPr>
        <w:t>每年的考试内容基本稳定。在条件成熟时，等值工作最好建立在每个考试科目基础之上，因为高考总分包含了许多性质不同、度量单位不同的多学科考试成绩）；</w:t>
      </w:r>
      <w:r>
        <w:rPr>
          <w:rFonts w:ascii="宋体" w:hAnsi="Times New Roman" w:eastAsia="宋体" w:cs="Times New Roman"/>
          <w:sz w:val="24"/>
          <w:szCs w:val="24"/>
        </w:rPr>
        <w:t>③</w:t>
      </w:r>
      <w:r>
        <w:rPr>
          <w:rFonts w:ascii="Times New Roman" w:hAnsi="Times New Roman" w:eastAsia="宋体" w:cs="Times New Roman"/>
          <w:sz w:val="24"/>
          <w:szCs w:val="24"/>
        </w:rPr>
        <w:t>标杆试卷的测评信度较高；</w:t>
      </w:r>
      <w:r>
        <w:rPr>
          <w:rFonts w:ascii="宋体" w:hAnsi="Times New Roman" w:eastAsia="宋体" w:cs="Times New Roman"/>
          <w:sz w:val="24"/>
          <w:szCs w:val="24"/>
        </w:rPr>
        <w:t>④</w:t>
      </w:r>
      <w:r>
        <w:rPr>
          <w:rFonts w:ascii="Times New Roman" w:hAnsi="Times New Roman" w:eastAsia="宋体" w:cs="Times New Roman"/>
          <w:sz w:val="24"/>
          <w:szCs w:val="24"/>
        </w:rPr>
        <w:t>每次考试的区分度都比较好，没有严重的“天花板效应”（满分或接近满分的人数太多）和“地板效应”（零分或接近零分的人数太多）。由于目前的高考总分满分为750分，所以建议百分位等级保留2位小数，避免出现同一百分位等级对应众多高考总分等问题。</w:t>
      </w:r>
    </w:p>
    <w:p>
      <w:pPr>
        <w:adjustRightInd w:val="0"/>
        <w:snapToGrid w:val="0"/>
        <w:spacing w:after="0" w:line="360" w:lineRule="auto"/>
        <w:ind w:firstLine="480" w:firstLineChars="200"/>
        <w:jc w:val="both"/>
        <w:rPr>
          <w:rFonts w:ascii="Times New Roman" w:hAnsi="Times New Roman" w:eastAsia="宋体" w:cs="Times New Roman"/>
          <w:sz w:val="24"/>
          <w:szCs w:val="24"/>
        </w:rPr>
      </w:pPr>
      <w:r>
        <w:rPr>
          <w:rFonts w:ascii="Times New Roman" w:hAnsi="Times New Roman" w:eastAsia="宋体" w:cs="Times New Roman"/>
          <w:sz w:val="24"/>
          <w:szCs w:val="24"/>
        </w:rPr>
        <w:t>第五，标杆试卷在慎重选定之后不要变换太勤。通常，标杆试卷一旦选定，建议保持5—10年不变，方便实施长时间的增值评价。当然，若考生群体或考试内容发生重大变化，则需要重新选定标杆试卷。</w:t>
      </w:r>
    </w:p>
    <w:p>
      <w:pPr>
        <w:adjustRightInd w:val="0"/>
        <w:snapToGrid w:val="0"/>
        <w:spacing w:after="0" w:line="360" w:lineRule="auto"/>
        <w:ind w:firstLine="480" w:firstLineChars="200"/>
        <w:jc w:val="both"/>
        <w:rPr>
          <w:rFonts w:ascii="Times New Roman" w:hAnsi="Times New Roman" w:eastAsia="宋体" w:cs="Times New Roman"/>
          <w:sz w:val="24"/>
          <w:szCs w:val="24"/>
        </w:rPr>
      </w:pPr>
      <w:r>
        <w:rPr>
          <w:rFonts w:ascii="Times New Roman" w:hAnsi="Times New Roman" w:eastAsia="宋体" w:cs="Times New Roman"/>
          <w:sz w:val="24"/>
          <w:szCs w:val="24"/>
        </w:rPr>
        <w:t>第六，在可以得到高考等值分数的条件下，增分模式和分类模式简便易行；若存在3个以上观察或考试数据，则可以使用轨道模式实施增值评价。此外，每所高中也可以根据全省/市/区公布的高考信息，自行推算出跨年度之间的分数转换关系，获得学生的等值分数或“等位分数”，然后通过比对本校或本班考生的高考成绩变化，自行开展增值评价工作。这些增值评价结果，在指导学生高考志愿填报和改进教育教学方案等方面具有积极价值。</w:t>
      </w:r>
    </w:p>
    <w:p>
      <w:pPr>
        <w:adjustRightInd w:val="0"/>
        <w:snapToGrid w:val="0"/>
        <w:spacing w:after="0" w:line="360" w:lineRule="auto"/>
        <w:ind w:firstLine="480" w:firstLineChars="200"/>
        <w:jc w:val="both"/>
        <w:rPr>
          <w:rFonts w:ascii="Times New Roman" w:hAnsi="Times New Roman" w:eastAsia="宋体" w:cs="Times New Roman"/>
          <w:sz w:val="24"/>
          <w:szCs w:val="24"/>
        </w:rPr>
      </w:pPr>
      <w:r>
        <w:rPr>
          <w:rFonts w:ascii="Times New Roman" w:hAnsi="Times New Roman" w:eastAsia="宋体" w:cs="Times New Roman"/>
          <w:sz w:val="24"/>
          <w:szCs w:val="24"/>
        </w:rPr>
        <w:t>第七，在条件成熟的时候，标杆试卷的原始总分，最好能通过常模研发或标准设定等技术，使得转换后的等值分数具有等距单位、并服从接近正态分布。</w:t>
      </w:r>
    </w:p>
    <w:p>
      <w:pPr>
        <w:adjustRightInd w:val="0"/>
        <w:snapToGrid w:val="0"/>
        <w:spacing w:after="0" w:line="360" w:lineRule="auto"/>
        <w:ind w:firstLine="360"/>
        <w:jc w:val="both"/>
        <w:rPr>
          <w:rFonts w:ascii="Times New Roman" w:hAnsi="Times New Roman" w:eastAsia="宋体" w:cs="Times New Roman"/>
          <w:sz w:val="24"/>
          <w:szCs w:val="24"/>
        </w:rPr>
      </w:pPr>
    </w:p>
    <w:p>
      <w:pPr>
        <w:adjustRightInd w:val="0"/>
        <w:snapToGrid w:val="0"/>
        <w:spacing w:after="0" w:line="360" w:lineRule="auto"/>
        <w:ind w:firstLine="360"/>
        <w:jc w:val="both"/>
        <w:rPr>
          <w:rFonts w:ascii="Times New Roman" w:hAnsi="Times New Roman" w:eastAsia="宋体" w:cs="Times New Roman"/>
          <w:sz w:val="24"/>
          <w:szCs w:val="24"/>
        </w:rPr>
      </w:pPr>
    </w:p>
    <w:p>
      <w:pPr>
        <w:adjustRightInd w:val="0"/>
        <w:snapToGrid w:val="0"/>
        <w:spacing w:after="0" w:line="360" w:lineRule="auto"/>
        <w:ind w:firstLine="360"/>
        <w:jc w:val="both"/>
        <w:rPr>
          <w:rFonts w:ascii="Times New Roman" w:hAnsi="Times New Roman" w:eastAsia="宋体" w:cs="Times New Roman"/>
          <w:sz w:val="24"/>
          <w:szCs w:val="24"/>
        </w:rPr>
      </w:pPr>
    </w:p>
    <w:p>
      <w:pPr>
        <w:adjustRightInd w:val="0"/>
        <w:snapToGrid w:val="0"/>
        <w:spacing w:after="0" w:line="360" w:lineRule="auto"/>
        <w:ind w:firstLine="360"/>
        <w:jc w:val="both"/>
        <w:rPr>
          <w:rFonts w:ascii="Times New Roman" w:hAnsi="Times New Roman" w:eastAsia="宋体" w:cs="Times New Roman"/>
          <w:sz w:val="24"/>
          <w:szCs w:val="24"/>
        </w:rPr>
      </w:pPr>
    </w:p>
    <w:p>
      <w:pPr>
        <w:adjustRightInd w:val="0"/>
        <w:snapToGrid w:val="0"/>
        <w:spacing w:after="0" w:line="360" w:lineRule="auto"/>
        <w:ind w:firstLine="360"/>
        <w:jc w:val="center"/>
        <w:rPr>
          <w:rFonts w:ascii="Times New Roman" w:hAnsi="Times New Roman" w:eastAsia="宋体" w:cs="Times New Roman"/>
          <w:sz w:val="24"/>
          <w:szCs w:val="24"/>
        </w:rPr>
      </w:pPr>
    </w:p>
    <w:p>
      <w:pPr>
        <w:rPr>
          <w:rFonts w:ascii="Times New Roman" w:hAnsi="Times New Roman" w:cs="Times New Roman"/>
          <w:b/>
          <w:sz w:val="24"/>
          <w:szCs w:val="24"/>
        </w:rPr>
      </w:pPr>
      <w:r>
        <w:rPr>
          <w:rFonts w:ascii="Times New Roman" w:hAnsi="Times New Roman" w:cs="Times New Roman"/>
          <w:b/>
          <w:sz w:val="24"/>
          <w:szCs w:val="24"/>
        </w:rPr>
        <w:br w:type="page"/>
      </w:r>
    </w:p>
    <w:p>
      <w:pPr>
        <w:jc w:val="center"/>
        <w:rPr>
          <w:rFonts w:ascii="Times New Roman" w:hAnsi="Times New Roman" w:cs="Times New Roman"/>
          <w:b/>
          <w:sz w:val="24"/>
          <w:szCs w:val="24"/>
        </w:rPr>
      </w:pPr>
      <w:r>
        <w:rPr>
          <w:rFonts w:ascii="Times New Roman" w:hAnsi="Times New Roman" w:cs="Times New Roman"/>
          <w:b/>
          <w:sz w:val="24"/>
          <w:szCs w:val="24"/>
        </w:rPr>
        <w:t>Risks of Using Chinese College Entrance Examination</w:t>
      </w:r>
    </w:p>
    <w:p>
      <w:pPr>
        <w:pStyle w:val="10"/>
        <w:spacing w:line="360" w:lineRule="auto"/>
        <w:ind w:left="0" w:leftChars="0" w:firstLine="0" w:firstLineChars="0"/>
        <w:jc w:val="center"/>
        <w:rPr>
          <w:rFonts w:ascii="Times New Roman" w:hAnsi="Times New Roman" w:cs="Times New Roman"/>
          <w:b/>
          <w:sz w:val="24"/>
          <w:szCs w:val="24"/>
        </w:rPr>
      </w:pPr>
      <w:r>
        <w:rPr>
          <w:rFonts w:ascii="Times New Roman" w:hAnsi="Times New Roman" w:cs="Times New Roman"/>
          <w:b/>
          <w:sz w:val="24"/>
          <w:szCs w:val="24"/>
        </w:rPr>
        <w:t>Scores in Value-added Evaluation and its Mitigation Strategies</w:t>
      </w:r>
    </w:p>
    <w:p>
      <w:pPr>
        <w:pStyle w:val="10"/>
        <w:spacing w:line="360" w:lineRule="auto"/>
        <w:rPr>
          <w:rFonts w:ascii="Times New Roman" w:hAnsi="Times New Roman" w:cs="Times New Roman"/>
          <w:b/>
          <w:sz w:val="24"/>
          <w:szCs w:val="24"/>
        </w:rPr>
      </w:pPr>
    </w:p>
    <w:p>
      <w:pPr>
        <w:pStyle w:val="10"/>
        <w:spacing w:after="0" w:line="240" w:lineRule="auto"/>
        <w:ind w:left="0" w:leftChars="0" w:firstLine="0" w:firstLineChars="0"/>
        <w:jc w:val="center"/>
        <w:rPr>
          <w:rFonts w:ascii="Times New Roman" w:hAnsi="Times New Roman" w:cs="Times New Roman"/>
          <w:sz w:val="24"/>
          <w:szCs w:val="24"/>
        </w:rPr>
      </w:pPr>
      <w:r>
        <w:rPr>
          <w:rFonts w:ascii="Times New Roman" w:hAnsi="Times New Roman" w:cs="Times New Roman"/>
          <w:sz w:val="24"/>
          <w:szCs w:val="24"/>
        </w:rPr>
        <w:t>Y</w:t>
      </w:r>
      <w:r>
        <w:rPr>
          <w:rFonts w:hint="eastAsia" w:ascii="Times New Roman" w:hAnsi="Times New Roman" w:cs="Times New Roman"/>
          <w:sz w:val="24"/>
          <w:szCs w:val="24"/>
          <w:lang w:val="en-US" w:eastAsia="zh-CN"/>
        </w:rPr>
        <w:t xml:space="preserve">ang </w:t>
      </w:r>
      <w:r>
        <w:rPr>
          <w:rFonts w:ascii="Times New Roman" w:hAnsi="Times New Roman" w:cs="Times New Roman"/>
          <w:sz w:val="24"/>
          <w:szCs w:val="24"/>
        </w:rPr>
        <w:t xml:space="preserve">Zhiming  </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D</w:t>
      </w:r>
      <w:r>
        <w:rPr>
          <w:rFonts w:hint="eastAsia" w:ascii="Times New Roman" w:hAnsi="Times New Roman" w:cs="Times New Roman"/>
          <w:sz w:val="24"/>
          <w:szCs w:val="24"/>
          <w:lang w:val="en-US" w:eastAsia="zh-CN"/>
        </w:rPr>
        <w:t xml:space="preserve">ing </w:t>
      </w:r>
      <w:r>
        <w:rPr>
          <w:rFonts w:ascii="Times New Roman" w:hAnsi="Times New Roman" w:cs="Times New Roman"/>
          <w:sz w:val="24"/>
          <w:szCs w:val="24"/>
        </w:rPr>
        <w:t>Gang</w:t>
      </w:r>
    </w:p>
    <w:p>
      <w:pPr>
        <w:pStyle w:val="10"/>
        <w:spacing w:after="0" w:line="240" w:lineRule="auto"/>
        <w:ind w:left="719" w:leftChars="327" w:firstLine="3120" w:firstLineChars="1300"/>
        <w:rPr>
          <w:rFonts w:ascii="Times New Roman" w:hAnsi="Times New Roman" w:cs="Times New Roman"/>
          <w:sz w:val="24"/>
          <w:szCs w:val="24"/>
        </w:rPr>
      </w:pPr>
    </w:p>
    <w:p>
      <w:pPr>
        <w:pStyle w:val="10"/>
        <w:spacing w:after="0" w:line="240" w:lineRule="auto"/>
        <w:jc w:val="both"/>
        <w:rPr>
          <w:rFonts w:ascii="Times New Roman" w:hAnsi="Times New Roman" w:cs="Times New Roman"/>
          <w:sz w:val="24"/>
          <w:szCs w:val="24"/>
        </w:rPr>
      </w:pPr>
    </w:p>
    <w:p>
      <w:pPr>
        <w:pStyle w:val="10"/>
        <w:spacing w:line="360" w:lineRule="auto"/>
        <w:ind w:left="18" w:leftChars="8" w:firstLine="643" w:firstLineChars="267"/>
        <w:jc w:val="both"/>
        <w:rPr>
          <w:rFonts w:ascii="Times New Roman" w:hAnsi="Times New Roman" w:cs="Times New Roman"/>
          <w:sz w:val="24"/>
          <w:szCs w:val="24"/>
        </w:rPr>
      </w:pPr>
      <w:r>
        <w:rPr>
          <w:rFonts w:ascii="Times New Roman" w:hAnsi="Times New Roman" w:cs="Times New Roman"/>
          <w:b/>
          <w:sz w:val="24"/>
          <w:szCs w:val="24"/>
        </w:rPr>
        <w:t xml:space="preserve">Abstract: </w:t>
      </w:r>
      <w:r>
        <w:rPr>
          <w:rFonts w:ascii="Times New Roman" w:hAnsi="Times New Roman" w:cs="Times New Roman"/>
          <w:sz w:val="24"/>
          <w:szCs w:val="24"/>
        </w:rPr>
        <w:t xml:space="preserve">Chinese College Entrance Examination (CCEE) plays an essential role in educational evaluation in China. However, using CCEE raw scores in value-added evaluation may pose risks in terms of accuracy and fairness. One way to mitigate such risks is to use the score frequency distribution released by each province every year to equate CCEE raw scores into a common scale through the mean/sigma linear equating method or equipercentile equating method. Then, value-added models such as the gain score model, categorical model, </w:t>
      </w:r>
      <w:r>
        <w:rPr>
          <w:rFonts w:hint="eastAsia" w:ascii="Times New Roman" w:hAnsi="Times New Roman" w:cs="Times New Roman"/>
          <w:sz w:val="24"/>
          <w:szCs w:val="24"/>
        </w:rPr>
        <w:t>and</w:t>
      </w:r>
      <w:r>
        <w:rPr>
          <w:rFonts w:ascii="Times New Roman" w:hAnsi="Times New Roman" w:cs="Times New Roman"/>
          <w:sz w:val="24"/>
          <w:szCs w:val="24"/>
        </w:rPr>
        <w:t xml:space="preserve"> trajectory model can be appropriately applied with equated scores. An empirical study with 3 years of data from one province of China indicates that the equated score-based value-added evaluation approach can effectively mitigate the risks. It can also be conveniently implemented by schools or local departments of education to perform value-added evaluation.</w:t>
      </w:r>
      <w:r>
        <w:rPr>
          <w:rFonts w:ascii="Times New Roman" w:hAnsi="Times New Roman" w:cs="Times New Roman"/>
          <w:b/>
          <w:sz w:val="24"/>
          <w:szCs w:val="24"/>
        </w:rPr>
        <w:t xml:space="preserve">     </w:t>
      </w:r>
    </w:p>
    <w:p>
      <w:pPr>
        <w:pStyle w:val="10"/>
        <w:spacing w:line="360" w:lineRule="auto"/>
        <w:ind w:left="18" w:leftChars="8" w:firstLine="643" w:firstLineChars="267"/>
        <w:rPr>
          <w:sz w:val="24"/>
          <w:szCs w:val="24"/>
        </w:rPr>
      </w:pPr>
      <w:r>
        <w:rPr>
          <w:rFonts w:ascii="Times New Roman" w:hAnsi="Times New Roman" w:cs="Times New Roman"/>
          <w:b/>
          <w:sz w:val="24"/>
          <w:szCs w:val="24"/>
        </w:rPr>
        <w:t>Key</w:t>
      </w:r>
      <w:r>
        <w:rPr>
          <w:rFonts w:hint="eastAsia" w:ascii="Times New Roman" w:hAnsi="Times New Roman" w:cs="Times New Roman"/>
          <w:b/>
          <w:sz w:val="24"/>
          <w:szCs w:val="24"/>
        </w:rPr>
        <w:t>w</w:t>
      </w:r>
      <w:r>
        <w:rPr>
          <w:rFonts w:ascii="Times New Roman" w:hAnsi="Times New Roman" w:cs="Times New Roman"/>
          <w:b/>
          <w:sz w:val="24"/>
          <w:szCs w:val="24"/>
        </w:rPr>
        <w:t>ords:</w:t>
      </w:r>
      <w:r>
        <w:rPr>
          <w:rFonts w:ascii="Times New Roman" w:hAnsi="Times New Roman" w:cs="Times New Roman"/>
          <w:sz w:val="24"/>
          <w:szCs w:val="24"/>
        </w:rPr>
        <w:t xml:space="preserve"> Chinese College Entrance Examination; test equating; value-added evaluation</w:t>
      </w:r>
    </w:p>
    <w:p>
      <w:pPr>
        <w:rPr>
          <w:sz w:val="24"/>
          <w:szCs w:val="24"/>
        </w:rPr>
      </w:pPr>
      <w:r>
        <w:rPr>
          <w:sz w:val="24"/>
          <w:szCs w:val="24"/>
        </w:rPr>
        <w:br w:type="page"/>
      </w:r>
    </w:p>
    <w:p>
      <w:pPr>
        <w:tabs>
          <w:tab w:val="left" w:pos="540"/>
        </w:tabs>
        <w:spacing w:beforeLines="50" w:afterLines="50" w:line="360" w:lineRule="auto"/>
        <w:rPr>
          <w:rFonts w:ascii="Times New Roman" w:hAnsi="Times New Roman" w:cs="Times New Roman"/>
          <w:bCs/>
          <w:sz w:val="24"/>
          <w:szCs w:val="24"/>
        </w:rPr>
      </w:pPr>
      <w:r>
        <w:rPr>
          <w:rFonts w:ascii="Times New Roman" w:hAnsi="Times New Roman" w:cs="Times New Roman"/>
          <w:b/>
          <w:bCs/>
          <w:sz w:val="24"/>
          <w:szCs w:val="24"/>
        </w:rPr>
        <w:t>附：论文格式相关要求</w:t>
      </w:r>
    </w:p>
    <w:p>
      <w:pPr>
        <w:numPr>
          <w:ilvl w:val="0"/>
          <w:numId w:val="0"/>
        </w:numPr>
        <w:tabs>
          <w:tab w:val="left" w:pos="540"/>
        </w:tabs>
        <w:spacing w:beforeLines="50" w:afterLines="50" w:line="360" w:lineRule="auto"/>
        <w:ind w:firstLine="460" w:firstLineChars="200"/>
        <w:jc w:val="both"/>
        <w:rPr>
          <w:rFonts w:hint="eastAsia" w:ascii="仿宋" w:hAnsi="仿宋" w:eastAsia="仿宋" w:cs="仿宋"/>
          <w:color w:val="000000"/>
          <w:kern w:val="0"/>
          <w:sz w:val="23"/>
          <w:szCs w:val="23"/>
          <w:lang w:val="en-US" w:eastAsia="zh-CN" w:bidi="ar"/>
        </w:rPr>
      </w:pPr>
      <w:r>
        <w:rPr>
          <w:rFonts w:hint="eastAsia" w:ascii="仿宋" w:hAnsi="仿宋" w:eastAsia="仿宋" w:cs="仿宋"/>
          <w:color w:val="000000"/>
          <w:kern w:val="0"/>
          <w:sz w:val="23"/>
          <w:szCs w:val="23"/>
          <w:lang w:val="en-US" w:eastAsia="zh-CN" w:bidi="ar"/>
        </w:rPr>
        <w:t xml:space="preserve">1.文章请附中英文对照的标题和摘要。摘要提供的信息应能客观反映文章主要内容，一般在 12~200 </w:t>
      </w:r>
      <w:r>
        <w:rPr>
          <w:rFonts w:hint="eastAsia" w:ascii="仿宋" w:hAnsi="仿宋" w:eastAsia="仿宋" w:cs="仿宋"/>
          <w:color w:val="000000"/>
          <w:kern w:val="0"/>
          <w:sz w:val="23"/>
          <w:szCs w:val="23"/>
          <w:lang w:val="en-US" w:eastAsia="zh-CN" w:bidi="ar"/>
        </w:rPr>
        <w:t>字之间。英文摘要以“Abstract：</w:t>
      </w:r>
      <w:r>
        <w:rPr>
          <w:rFonts w:hint="eastAsia" w:ascii="仿宋" w:hAnsi="仿宋" w:eastAsia="仿宋" w:cs="仿宋"/>
          <w:color w:val="000000"/>
          <w:kern w:val="0"/>
          <w:sz w:val="23"/>
          <w:szCs w:val="23"/>
          <w:lang w:val="en-US" w:eastAsia="zh-CN" w:bidi="ar"/>
        </w:rPr>
        <w:t>”作为标识。</w:t>
      </w:r>
    </w:p>
    <w:p>
      <w:pPr>
        <w:numPr>
          <w:ilvl w:val="0"/>
          <w:numId w:val="0"/>
        </w:numPr>
        <w:tabs>
          <w:tab w:val="left" w:pos="540"/>
        </w:tabs>
        <w:spacing w:beforeLines="50" w:afterLines="50" w:line="360" w:lineRule="auto"/>
        <w:ind w:firstLine="460" w:firstLineChars="200"/>
        <w:jc w:val="both"/>
        <w:rPr>
          <w:rFonts w:hint="eastAsia" w:ascii="仿宋" w:hAnsi="仿宋" w:eastAsia="仿宋" w:cs="仿宋"/>
          <w:color w:val="000000"/>
          <w:kern w:val="0"/>
          <w:sz w:val="23"/>
          <w:szCs w:val="23"/>
          <w:lang w:val="en-US" w:eastAsia="zh-CN" w:bidi="ar"/>
        </w:rPr>
      </w:pPr>
      <w:r>
        <w:rPr>
          <w:rFonts w:hint="eastAsia" w:ascii="仿宋" w:hAnsi="仿宋" w:eastAsia="仿宋" w:cs="仿宋"/>
          <w:color w:val="000000"/>
          <w:kern w:val="0"/>
          <w:sz w:val="23"/>
          <w:szCs w:val="23"/>
          <w:lang w:val="en-US" w:eastAsia="zh-CN" w:bidi="ar"/>
        </w:rPr>
        <w:t>2.</w:t>
      </w:r>
      <w:r>
        <w:rPr>
          <w:rFonts w:hint="eastAsia" w:ascii="仿宋" w:hAnsi="仿宋" w:eastAsia="仿宋" w:cs="仿宋"/>
          <w:color w:val="000000"/>
          <w:kern w:val="0"/>
          <w:sz w:val="23"/>
          <w:szCs w:val="23"/>
          <w:lang w:val="en-US" w:eastAsia="zh-CN" w:bidi="ar"/>
        </w:rPr>
        <w:t>文章应有 3~</w:t>
      </w:r>
      <w:r>
        <w:rPr>
          <w:rFonts w:hint="eastAsia" w:ascii="仿宋" w:hAnsi="仿宋" w:eastAsia="仿宋" w:cs="仿宋"/>
          <w:color w:val="000000"/>
          <w:kern w:val="0"/>
          <w:sz w:val="23"/>
          <w:szCs w:val="23"/>
          <w:lang w:val="en-US" w:eastAsia="zh-CN" w:bidi="ar"/>
        </w:rPr>
        <w:t>6个能反映文章主题的中英文对照的关键词，中间用分号分隔。英文关键词以“Keywords：</w:t>
      </w:r>
      <w:r>
        <w:rPr>
          <w:rFonts w:hint="eastAsia" w:ascii="仿宋" w:hAnsi="仿宋" w:eastAsia="仿宋" w:cs="仿宋"/>
          <w:color w:val="000000"/>
          <w:kern w:val="0"/>
          <w:sz w:val="23"/>
          <w:szCs w:val="23"/>
          <w:lang w:val="en-US" w:eastAsia="zh-CN" w:bidi="ar"/>
        </w:rPr>
        <w:t>”作为标识。</w:t>
      </w:r>
    </w:p>
    <w:p>
      <w:pPr>
        <w:numPr>
          <w:ilvl w:val="0"/>
          <w:numId w:val="0"/>
        </w:numPr>
        <w:tabs>
          <w:tab w:val="left" w:pos="540"/>
        </w:tabs>
        <w:spacing w:beforeLines="50" w:afterLines="50" w:line="360" w:lineRule="auto"/>
        <w:ind w:firstLine="460" w:firstLineChars="200"/>
        <w:jc w:val="both"/>
        <w:rPr>
          <w:rFonts w:hint="eastAsia" w:ascii="仿宋" w:hAnsi="仿宋" w:eastAsia="仿宋" w:cs="仿宋"/>
          <w:color w:val="000000"/>
          <w:kern w:val="0"/>
          <w:sz w:val="23"/>
          <w:szCs w:val="23"/>
          <w:lang w:val="en-US" w:eastAsia="zh-CN" w:bidi="ar"/>
        </w:rPr>
      </w:pPr>
      <w:r>
        <w:rPr>
          <w:rFonts w:hint="eastAsia" w:ascii="仿宋" w:hAnsi="仿宋" w:eastAsia="仿宋" w:cs="仿宋"/>
          <w:color w:val="000000"/>
          <w:kern w:val="0"/>
          <w:sz w:val="23"/>
          <w:szCs w:val="23"/>
          <w:lang w:val="en-US" w:eastAsia="zh-CN" w:bidi="ar"/>
        </w:rPr>
        <w:t>3.</w:t>
      </w:r>
      <w:r>
        <w:rPr>
          <w:rFonts w:hint="eastAsia" w:ascii="仿宋" w:hAnsi="仿宋" w:eastAsia="仿宋" w:cs="仿宋"/>
          <w:color w:val="000000"/>
          <w:kern w:val="0"/>
          <w:sz w:val="23"/>
          <w:szCs w:val="23"/>
          <w:lang w:val="en-US" w:eastAsia="zh-CN" w:bidi="ar"/>
        </w:rPr>
        <w:t>文章的注释采用脚注形式，序号用带圆圈的阿拉伯数字表示，在文中标注为上角标，注文置于当页底脚，每页重新编号。</w:t>
      </w:r>
    </w:p>
    <w:p>
      <w:pPr>
        <w:numPr>
          <w:ilvl w:val="0"/>
          <w:numId w:val="0"/>
        </w:numPr>
        <w:tabs>
          <w:tab w:val="left" w:pos="540"/>
        </w:tabs>
        <w:spacing w:beforeLines="50" w:afterLines="50" w:line="360" w:lineRule="auto"/>
        <w:ind w:firstLine="460" w:firstLineChars="200"/>
        <w:jc w:val="both"/>
        <w:rPr>
          <w:rFonts w:hint="eastAsia" w:ascii="仿宋" w:hAnsi="仿宋" w:eastAsia="仿宋" w:cs="仿宋"/>
          <w:color w:val="000000"/>
          <w:kern w:val="0"/>
          <w:sz w:val="23"/>
          <w:szCs w:val="23"/>
          <w:lang w:val="en-US" w:eastAsia="zh-CN" w:bidi="ar"/>
        </w:rPr>
      </w:pPr>
      <w:r>
        <w:rPr>
          <w:rFonts w:hint="eastAsia" w:ascii="仿宋" w:hAnsi="仿宋" w:eastAsia="仿宋" w:cs="仿宋"/>
          <w:color w:val="000000"/>
          <w:kern w:val="0"/>
          <w:sz w:val="23"/>
          <w:szCs w:val="23"/>
          <w:lang w:val="en-US" w:eastAsia="zh-CN" w:bidi="ar"/>
        </w:rPr>
        <w:t>4.文章的参考文献用带圆圈的阿拉伯数字标识，在文中标注为上角标。参考文献的著录按照《文后参考文献著录规则》的规定，采用顺序编码制。</w:t>
      </w:r>
    </w:p>
    <w:p>
      <w:pPr>
        <w:numPr>
          <w:ilvl w:val="0"/>
          <w:numId w:val="0"/>
        </w:numPr>
        <w:tabs>
          <w:tab w:val="left" w:pos="540"/>
        </w:tabs>
        <w:spacing w:beforeLines="50" w:afterLines="50" w:line="360" w:lineRule="auto"/>
        <w:ind w:firstLine="460" w:firstLineChars="200"/>
        <w:jc w:val="both"/>
        <w:rPr>
          <w:rFonts w:hint="eastAsia" w:ascii="仿宋" w:hAnsi="仿宋" w:eastAsia="仿宋" w:cs="仿宋"/>
          <w:color w:val="000000"/>
          <w:kern w:val="0"/>
          <w:sz w:val="23"/>
          <w:szCs w:val="23"/>
          <w:lang w:val="en-US" w:eastAsia="zh-CN" w:bidi="ar"/>
        </w:rPr>
      </w:pPr>
      <w:r>
        <w:rPr>
          <w:rFonts w:hint="eastAsia" w:ascii="仿宋" w:hAnsi="仿宋" w:eastAsia="仿宋" w:cs="仿宋"/>
          <w:color w:val="000000"/>
          <w:kern w:val="0"/>
          <w:sz w:val="23"/>
          <w:szCs w:val="23"/>
          <w:lang w:val="en-US" w:eastAsia="zh-CN" w:bidi="ar"/>
        </w:rPr>
        <w:t>5.</w:t>
      </w:r>
      <w:r>
        <w:rPr>
          <w:rFonts w:hint="eastAsia" w:ascii="仿宋" w:hAnsi="仿宋" w:eastAsia="仿宋" w:cs="仿宋"/>
          <w:color w:val="000000"/>
          <w:kern w:val="0"/>
          <w:sz w:val="23"/>
          <w:szCs w:val="23"/>
          <w:lang w:val="en-US" w:eastAsia="zh-CN" w:bidi="ar"/>
        </w:rPr>
        <w:t>文章请附作者简介，主要内容为：姓名、性别，学位、职称、工作单位与部门以及研究方向及联络方式（电子邮箱、通信地址和手机号码）。</w:t>
      </w:r>
    </w:p>
    <w:p>
      <w:pPr>
        <w:tabs>
          <w:tab w:val="left" w:pos="540"/>
        </w:tabs>
        <w:spacing w:beforeLines="50" w:afterLines="50" w:line="360" w:lineRule="auto"/>
        <w:ind w:firstLine="480" w:firstLineChars="200"/>
        <w:jc w:val="both"/>
        <w:rPr>
          <w:rFonts w:ascii="Times New Roman" w:hAnsi="Times New Roman" w:cs="Times New Roman"/>
          <w:sz w:val="24"/>
          <w:szCs w:val="24"/>
        </w:rPr>
      </w:pPr>
      <w:bookmarkStart w:id="0" w:name="_GoBack"/>
      <w:bookmarkEnd w:id="0"/>
    </w:p>
    <w:p>
      <w:pPr>
        <w:tabs>
          <w:tab w:val="left" w:pos="540"/>
        </w:tabs>
        <w:spacing w:beforeLines="50" w:afterLines="50" w:line="360" w:lineRule="auto"/>
        <w:ind w:firstLine="480" w:firstLineChars="200"/>
        <w:jc w:val="both"/>
        <w:rPr>
          <w:rFonts w:ascii="Times New Roman" w:hAnsi="Times New Roman" w:cs="Times New Roman"/>
          <w:sz w:val="24"/>
          <w:szCs w:val="24"/>
        </w:rPr>
      </w:pPr>
    </w:p>
    <w:sectPr>
      <w:footnotePr>
        <w:numFmt w:val="decimalEnclosedCircleChinese"/>
        <w:numRestart w:val="eachPage"/>
      </w:footnotePr>
      <w:type w:val="continuous"/>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amp;quot">
    <w:altName w:val="Times New Roman"/>
    <w:panose1 w:val="00000000000000000000"/>
    <w:charset w:val="00"/>
    <w:family w:val="roman"/>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1249852"/>
      <w:docPartObj>
        <w:docPartGallery w:val="autotext"/>
      </w:docPartObj>
    </w:sdtPr>
    <w:sdtContent>
      <w:p>
        <w:pPr>
          <w:pStyle w:val="3"/>
          <w:jc w:val="center"/>
        </w:pPr>
        <w:r>
          <w:fldChar w:fldCharType="begin"/>
        </w:r>
        <w:r>
          <w:instrText xml:space="preserve">PAGE   \* MERGEFORMAT</w:instrText>
        </w:r>
        <w:r>
          <w:fldChar w:fldCharType="separate"/>
        </w:r>
        <w:r>
          <w:rPr>
            <w:lang w:val="zh-CN"/>
          </w:rPr>
          <w:t>11</w:t>
        </w:r>
        <w:r>
          <w:rPr>
            <w:lang w:val="zh-CN"/>
          </w:rPr>
          <w:fldChar w:fldCharType="end"/>
        </w:r>
      </w:p>
    </w:sdtContent>
  </w:sdt>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0">
    <w:p>
      <w:pPr>
        <w:spacing w:before="0" w:after="0" w:line="276" w:lineRule="auto"/>
      </w:pPr>
      <w:r>
        <w:separator/>
      </w:r>
    </w:p>
  </w:footnote>
  <w:footnote w:type="continuationSeparator" w:id="21">
    <w:p>
      <w:pPr>
        <w:spacing w:before="0" w:after="0" w:line="276" w:lineRule="auto"/>
      </w:pPr>
      <w:r>
        <w:continuationSeparator/>
      </w:r>
    </w:p>
  </w:footnote>
  <w:footnote w:id="0">
    <w:p>
      <w:pPr>
        <w:spacing w:after="0" w:line="240" w:lineRule="auto"/>
        <w:ind w:firstLine="361" w:firstLineChars="200"/>
        <w:jc w:val="both"/>
        <w:rPr>
          <w:rFonts w:ascii="Times New Roman" w:cs="Times New Roman"/>
          <w:sz w:val="18"/>
          <w:szCs w:val="18"/>
        </w:rPr>
      </w:pPr>
      <w:r>
        <w:rPr>
          <w:rFonts w:ascii="Times New Roman" w:cs="Times New Roman"/>
          <w:b/>
          <w:sz w:val="18"/>
          <w:szCs w:val="18"/>
        </w:rPr>
        <w:t>作者简介</w:t>
      </w:r>
      <w:r>
        <w:rPr>
          <w:rFonts w:ascii="Times New Roman" w:hAnsi="黑体" w:eastAsia="黑体" w:cs="Times New Roman"/>
          <w:sz w:val="18"/>
          <w:szCs w:val="18"/>
        </w:rPr>
        <w:t>：</w:t>
      </w:r>
      <w:r>
        <w:rPr>
          <w:rFonts w:ascii="Times New Roman" w:cs="Times New Roman"/>
          <w:sz w:val="18"/>
          <w:szCs w:val="18"/>
        </w:rPr>
        <w:t>杨志明，湖南师范大学测评研究中心主任，外国语学院教授、博士研究生导师，研究兴趣为英语和心理测试与教育评价；丁港，湖南师范大学数学与统计学院硕士研究生，研究方向为教育统计学。</w:t>
      </w:r>
    </w:p>
    <w:p>
      <w:pPr>
        <w:spacing w:after="0" w:line="240" w:lineRule="auto"/>
        <w:ind w:firstLine="361" w:firstLineChars="200"/>
        <w:jc w:val="both"/>
        <w:rPr>
          <w:rFonts w:hint="default" w:ascii="Times New Roman" w:cs="Times New Roman"/>
          <w:b/>
          <w:sz w:val="18"/>
          <w:szCs w:val="18"/>
          <w:lang w:val="en-US" w:eastAsia="zh-CN"/>
        </w:rPr>
      </w:pPr>
      <w:r>
        <w:rPr>
          <w:rFonts w:hint="eastAsia" w:ascii="Times New Roman" w:cs="Times New Roman"/>
          <w:b/>
          <w:sz w:val="18"/>
          <w:szCs w:val="18"/>
          <w:lang w:val="en-US" w:eastAsia="zh-CN"/>
        </w:rPr>
        <w:t>说明：</w:t>
      </w:r>
      <w:r>
        <w:rPr>
          <w:rFonts w:hint="eastAsia" w:ascii="Times New Roman" w:cs="Times New Roman"/>
          <w:b w:val="0"/>
          <w:bCs/>
          <w:sz w:val="18"/>
          <w:szCs w:val="18"/>
          <w:lang w:val="en-US" w:eastAsia="zh-CN"/>
        </w:rPr>
        <w:t>本文系“******”研讨会分论坛主题报告。</w:t>
      </w:r>
    </w:p>
    <w:p>
      <w:pPr>
        <w:spacing w:line="240" w:lineRule="auto"/>
        <w:ind w:firstLine="361" w:firstLineChars="200"/>
        <w:jc w:val="both"/>
        <w:rPr>
          <w:sz w:val="20"/>
          <w:szCs w:val="20"/>
        </w:rPr>
      </w:pPr>
      <w:r>
        <w:rPr>
          <w:rFonts w:ascii="Times New Roman" w:cs="Times New Roman"/>
          <w:b/>
          <w:sz w:val="18"/>
          <w:szCs w:val="18"/>
        </w:rPr>
        <w:t>基金项目：</w:t>
      </w:r>
      <w:r>
        <w:rPr>
          <w:rFonts w:ascii="Times New Roman" w:cs="Times New Roman"/>
          <w:sz w:val="18"/>
          <w:szCs w:val="18"/>
        </w:rPr>
        <w:t>本文为国家社会科学基金</w:t>
      </w:r>
      <w:r>
        <w:rPr>
          <w:rFonts w:ascii="Times New Roman" w:hAnsi="Times New Roman" w:cs="Times New Roman"/>
          <w:sz w:val="18"/>
          <w:szCs w:val="18"/>
        </w:rPr>
        <w:t>“</w:t>
      </w:r>
      <w:r>
        <w:rPr>
          <w:rFonts w:ascii="Times New Roman" w:cs="Times New Roman"/>
          <w:sz w:val="18"/>
          <w:szCs w:val="18"/>
        </w:rPr>
        <w:t>十三五</w:t>
      </w:r>
      <w:r>
        <w:rPr>
          <w:rFonts w:ascii="Times New Roman" w:hAnsi="Times New Roman" w:cs="Times New Roman"/>
          <w:sz w:val="18"/>
          <w:szCs w:val="18"/>
        </w:rPr>
        <w:t>”</w:t>
      </w:r>
      <w:r>
        <w:rPr>
          <w:rFonts w:ascii="Times New Roman" w:cs="Times New Roman"/>
          <w:sz w:val="18"/>
          <w:szCs w:val="18"/>
        </w:rPr>
        <w:t>规划</w:t>
      </w:r>
      <w:r>
        <w:rPr>
          <w:rFonts w:ascii="Times New Roman" w:hAnsi="Times New Roman" w:cs="Times New Roman"/>
          <w:sz w:val="18"/>
          <w:szCs w:val="18"/>
        </w:rPr>
        <w:t>2020</w:t>
      </w:r>
      <w:r>
        <w:rPr>
          <w:rFonts w:ascii="Times New Roman" w:cs="Times New Roman"/>
          <w:sz w:val="18"/>
          <w:szCs w:val="18"/>
        </w:rPr>
        <w:t>年度教育学重点课题</w:t>
      </w:r>
      <w:r>
        <w:rPr>
          <w:rFonts w:ascii="Times New Roman" w:hAnsi="Times New Roman" w:cs="Times New Roman"/>
          <w:sz w:val="18"/>
          <w:szCs w:val="18"/>
        </w:rPr>
        <w:t>“</w:t>
      </w:r>
      <w:r>
        <w:rPr>
          <w:rFonts w:ascii="Times New Roman" w:cs="Times New Roman"/>
          <w:sz w:val="18"/>
          <w:szCs w:val="18"/>
        </w:rPr>
        <w:t>中西部地区推荐高考综合改革研究</w:t>
      </w:r>
      <w:r>
        <w:rPr>
          <w:rFonts w:ascii="Times New Roman" w:hAnsi="Times New Roman" w:cs="Times New Roman"/>
          <w:sz w:val="18"/>
          <w:szCs w:val="18"/>
        </w:rPr>
        <w:t>”</w:t>
      </w:r>
      <w:r>
        <w:rPr>
          <w:rFonts w:ascii="Times New Roman" w:cs="Times New Roman"/>
          <w:sz w:val="18"/>
          <w:szCs w:val="18"/>
        </w:rPr>
        <w:t>（</w:t>
      </w:r>
      <w:r>
        <w:rPr>
          <w:rFonts w:ascii="Times New Roman" w:hAnsi="Times New Roman" w:cs="Times New Roman"/>
          <w:sz w:val="18"/>
          <w:szCs w:val="18"/>
        </w:rPr>
        <w:t>AEA200013</w:t>
      </w:r>
      <w:r>
        <w:rPr>
          <w:rFonts w:ascii="Times New Roman" w:cs="Times New Roman"/>
          <w:sz w:val="18"/>
          <w:szCs w:val="18"/>
        </w:rPr>
        <w:t>）部分成果。</w:t>
      </w:r>
    </w:p>
  </w:footnote>
  <w:footnote w:id="1">
    <w:p>
      <w:pPr>
        <w:adjustRightInd w:val="0"/>
        <w:snapToGrid w:val="0"/>
        <w:spacing w:after="0" w:line="360" w:lineRule="auto"/>
        <w:jc w:val="both"/>
        <w:rPr>
          <w:rFonts w:ascii="Times New Roman" w:hAnsi="Times New Roman" w:eastAsia="宋体" w:cs="Times New Roman"/>
          <w:sz w:val="18"/>
          <w:szCs w:val="18"/>
        </w:rPr>
      </w:pPr>
      <w:r>
        <w:rPr>
          <w:rStyle w:val="9"/>
          <w:rFonts w:ascii="Times New Roman" w:hAnsi="Times New Roman" w:cs="Times New Roman"/>
          <w:sz w:val="18"/>
          <w:szCs w:val="18"/>
        </w:rPr>
        <w:footnoteRef/>
      </w:r>
      <w:r>
        <w:rPr>
          <w:rFonts w:ascii="Times New Roman" w:hAnsi="Times New Roman" w:eastAsia="宋体" w:cs="Times New Roman"/>
          <w:sz w:val="18"/>
          <w:szCs w:val="18"/>
          <w:lang w:val="zh-CN"/>
        </w:rPr>
        <w:t>王晓平,齐森,谢小庆.</w:t>
      </w:r>
      <w:r>
        <w:rPr>
          <w:rFonts w:ascii="Times New Roman" w:hAnsi="Times New Roman" w:eastAsia="宋体" w:cs="Times New Roman"/>
          <w:sz w:val="18"/>
          <w:szCs w:val="18"/>
        </w:rPr>
        <w:t>美国学校“成长测量”的7种主要方法[J].中国考试,2018(6):21-27.</w:t>
      </w:r>
    </w:p>
  </w:footnote>
  <w:footnote w:id="2">
    <w:p>
      <w:pPr>
        <w:adjustRightInd w:val="0"/>
        <w:snapToGrid w:val="0"/>
        <w:spacing w:after="0" w:line="360" w:lineRule="auto"/>
        <w:jc w:val="both"/>
        <w:rPr>
          <w:sz w:val="21"/>
          <w:szCs w:val="21"/>
        </w:rPr>
      </w:pPr>
      <w:r>
        <w:rPr>
          <w:rStyle w:val="9"/>
          <w:rFonts w:ascii="Times New Roman" w:hAnsi="Times New Roman" w:cs="Times New Roman"/>
          <w:sz w:val="18"/>
          <w:szCs w:val="18"/>
        </w:rPr>
        <w:footnoteRef/>
      </w:r>
      <w:r>
        <w:rPr>
          <w:rFonts w:ascii="Times New Roman" w:hAnsi="&amp;quot" w:cs="Times New Roman"/>
          <w:color w:val="000000"/>
          <w:sz w:val="18"/>
          <w:szCs w:val="18"/>
        </w:rPr>
        <w:t>杨志明</w:t>
      </w:r>
      <w:r>
        <w:rPr>
          <w:rFonts w:ascii="Times New Roman" w:hAnsi="Times New Roman" w:cs="Times New Roman"/>
          <w:color w:val="000000"/>
          <w:sz w:val="18"/>
          <w:szCs w:val="18"/>
        </w:rPr>
        <w:t>,</w:t>
      </w:r>
      <w:r>
        <w:rPr>
          <w:rFonts w:ascii="Times New Roman" w:hAnsi="&amp;quot" w:cs="Times New Roman"/>
          <w:color w:val="000000"/>
          <w:sz w:val="18"/>
          <w:szCs w:val="18"/>
        </w:rPr>
        <w:t>彭丽仪</w:t>
      </w:r>
      <w:r>
        <w:rPr>
          <w:rFonts w:ascii="Times New Roman" w:hAnsi="Times New Roman" w:cs="Times New Roman"/>
          <w:color w:val="000000"/>
          <w:sz w:val="18"/>
          <w:szCs w:val="18"/>
        </w:rPr>
        <w:t>,</w:t>
      </w:r>
      <w:r>
        <w:rPr>
          <w:rFonts w:ascii="Times New Roman" w:hAnsi="&amp;quot" w:cs="Times New Roman"/>
          <w:color w:val="000000"/>
          <w:sz w:val="18"/>
          <w:szCs w:val="18"/>
        </w:rPr>
        <w:t>李洋</w:t>
      </w:r>
      <w:r>
        <w:rPr>
          <w:rFonts w:ascii="Times New Roman" w:hAnsi="Times New Roman" w:cs="Times New Roman"/>
          <w:color w:val="000000"/>
          <w:sz w:val="18"/>
          <w:szCs w:val="18"/>
        </w:rPr>
        <w:t xml:space="preserve">. </w:t>
      </w:r>
      <w:r>
        <w:rPr>
          <w:rFonts w:ascii="Times New Roman" w:hAnsi="&amp;quot" w:cs="Times New Roman"/>
          <w:color w:val="000000"/>
          <w:sz w:val="18"/>
          <w:szCs w:val="18"/>
        </w:rPr>
        <w:t>增值评价中的天花板效应及其破解思路</w:t>
      </w:r>
      <w:r>
        <w:rPr>
          <w:rFonts w:ascii="Times New Roman" w:hAnsi="Times New Roman" w:cs="Times New Roman"/>
          <w:color w:val="000000"/>
          <w:sz w:val="18"/>
          <w:szCs w:val="18"/>
        </w:rPr>
        <w:t>[J].</w:t>
      </w:r>
      <w:r>
        <w:rPr>
          <w:rFonts w:ascii="Times New Roman" w:hAnsi="&amp;quot" w:cs="Times New Roman"/>
          <w:color w:val="000000"/>
          <w:sz w:val="18"/>
          <w:szCs w:val="18"/>
        </w:rPr>
        <w:t>教育测量与评价</w:t>
      </w:r>
      <w:r>
        <w:rPr>
          <w:rFonts w:ascii="Times New Roman" w:hAnsi="Times New Roman" w:cs="Times New Roman"/>
          <w:color w:val="000000"/>
          <w:sz w:val="18"/>
          <w:szCs w:val="18"/>
        </w:rPr>
        <w:t>,2020(12):3-7.</w:t>
      </w:r>
    </w:p>
  </w:footnote>
  <w:footnote w:id="3">
    <w:p>
      <w:pPr>
        <w:pStyle w:val="5"/>
        <w:adjustRightInd w:val="0"/>
        <w:spacing w:line="240" w:lineRule="auto"/>
        <w:jc w:val="both"/>
        <w:rPr>
          <w:rFonts w:ascii="Times New Roman" w:hAnsi="Times New Roman" w:cs="Times New Roman"/>
        </w:rPr>
      </w:pPr>
      <w:r>
        <w:rPr>
          <w:rStyle w:val="9"/>
          <w:rFonts w:ascii="Times New Roman" w:hAnsi="Times New Roman" w:cs="Times New Roman"/>
        </w:rPr>
        <w:footnoteRef/>
      </w:r>
      <w:r>
        <w:rPr>
          <w:rFonts w:ascii="Times New Roman" w:hAnsi="Times New Roman" w:cs="Times New Roman"/>
        </w:rPr>
        <w:t>杨志明. 线性等值与等百分位等值的实施条件与步骤[J].教育测量与评价,2016(12): 4-8,45.</w:t>
      </w:r>
    </w:p>
  </w:footnote>
  <w:footnote w:id="4">
    <w:p>
      <w:pPr>
        <w:pStyle w:val="5"/>
        <w:adjustRightInd w:val="0"/>
        <w:spacing w:line="240" w:lineRule="auto"/>
        <w:jc w:val="both"/>
        <w:rPr>
          <w:rFonts w:ascii="Times New Roman" w:hAnsi="Times New Roman" w:cs="Times New Roman"/>
        </w:rPr>
      </w:pPr>
      <w:r>
        <w:rPr>
          <w:rStyle w:val="9"/>
          <w:rFonts w:ascii="Times New Roman" w:hAnsi="Times New Roman" w:cs="Times New Roman"/>
        </w:rPr>
        <w:footnoteRef/>
      </w:r>
      <w:r>
        <w:rPr>
          <w:rFonts w:hint="eastAsia" w:ascii="Times New Roman" w:hAnsi="Times New Roman" w:cs="Times New Roman"/>
          <w:lang w:val="en-US" w:eastAsia="zh-CN"/>
        </w:rPr>
        <w:t xml:space="preserve">KOLEN </w:t>
      </w:r>
      <w:r>
        <w:rPr>
          <w:rFonts w:ascii="Times New Roman" w:hAnsi="Times New Roman" w:cs="Times New Roman"/>
        </w:rPr>
        <w:t>M</w:t>
      </w:r>
      <w:r>
        <w:rPr>
          <w:rFonts w:hint="eastAsia" w:ascii="Times New Roman" w:hAnsi="Times New Roman" w:cs="Times New Roman"/>
          <w:lang w:val="en-US" w:eastAsia="zh-CN"/>
        </w:rPr>
        <w:t xml:space="preserve"> </w:t>
      </w:r>
      <w:r>
        <w:rPr>
          <w:rFonts w:ascii="Times New Roman" w:hAnsi="Times New Roman" w:cs="Times New Roman"/>
        </w:rPr>
        <w:t xml:space="preserve">J.Traditional </w:t>
      </w:r>
      <w:r>
        <w:rPr>
          <w:rFonts w:hint="eastAsia" w:ascii="Times New Roman" w:hAnsi="Times New Roman" w:cs="Times New Roman"/>
          <w:lang w:val="en-US" w:eastAsia="zh-CN"/>
        </w:rPr>
        <w:t>e</w:t>
      </w:r>
      <w:r>
        <w:rPr>
          <w:rFonts w:ascii="Times New Roman" w:hAnsi="Times New Roman" w:cs="Times New Roman"/>
        </w:rPr>
        <w:t xml:space="preserve">quating </w:t>
      </w:r>
      <w:r>
        <w:rPr>
          <w:rFonts w:hint="eastAsia" w:ascii="Times New Roman" w:hAnsi="Times New Roman" w:cs="Times New Roman"/>
          <w:lang w:val="en-US" w:eastAsia="zh-CN"/>
        </w:rPr>
        <w:t>m</w:t>
      </w:r>
      <w:r>
        <w:rPr>
          <w:rFonts w:ascii="Times New Roman" w:hAnsi="Times New Roman" w:cs="Times New Roman"/>
        </w:rPr>
        <w:t xml:space="preserve">ethodology[J].Educational </w:t>
      </w:r>
      <w:r>
        <w:rPr>
          <w:rFonts w:hint="eastAsia" w:ascii="Times New Roman" w:hAnsi="Times New Roman" w:cs="Times New Roman"/>
          <w:lang w:val="en-US" w:eastAsia="zh-CN"/>
        </w:rPr>
        <w:t>m</w:t>
      </w:r>
      <w:r>
        <w:rPr>
          <w:rFonts w:ascii="Times New Roman" w:hAnsi="Times New Roman" w:cs="Times New Roman"/>
        </w:rPr>
        <w:t xml:space="preserve">easurement: Issues and </w:t>
      </w:r>
      <w:r>
        <w:rPr>
          <w:rFonts w:hint="eastAsia" w:ascii="Times New Roman" w:hAnsi="Times New Roman" w:cs="Times New Roman"/>
          <w:lang w:val="en-US" w:eastAsia="zh-CN"/>
        </w:rPr>
        <w:t>p</w:t>
      </w:r>
      <w:r>
        <w:rPr>
          <w:rFonts w:ascii="Times New Roman" w:hAnsi="Times New Roman" w:cs="Times New Roman"/>
        </w:rPr>
        <w:t>ractices, 1988，7(4): 29-36.</w:t>
      </w:r>
    </w:p>
  </w:footnote>
  <w:footnote w:id="5">
    <w:p>
      <w:pPr>
        <w:pStyle w:val="5"/>
        <w:adjustRightInd w:val="0"/>
        <w:spacing w:line="240" w:lineRule="auto"/>
        <w:jc w:val="both"/>
        <w:rPr>
          <w:rFonts w:ascii="Times New Roman" w:hAnsi="Times New Roman" w:cs="Times New Roman"/>
        </w:rPr>
      </w:pPr>
      <w:r>
        <w:rPr>
          <w:rStyle w:val="9"/>
          <w:rFonts w:ascii="Times New Roman" w:hAnsi="Times New Roman" w:cs="Times New Roman"/>
        </w:rPr>
        <w:footnoteRef/>
      </w:r>
      <w:r>
        <w:rPr>
          <w:rFonts w:hint="eastAsia" w:ascii="Times New Roman" w:hAnsi="Times New Roman" w:cs="Times New Roman"/>
          <w:lang w:val="en-US" w:eastAsia="zh-CN"/>
        </w:rPr>
        <w:t xml:space="preserve">LIVINGSTON </w:t>
      </w:r>
      <w:r>
        <w:rPr>
          <w:rFonts w:ascii="Times New Roman" w:hAnsi="Times New Roman" w:cs="Times New Roman"/>
        </w:rPr>
        <w:t>S</w:t>
      </w:r>
      <w:r>
        <w:rPr>
          <w:rFonts w:hint="eastAsia" w:ascii="Times New Roman" w:hAnsi="Times New Roman" w:cs="Times New Roman"/>
          <w:lang w:val="en-US" w:eastAsia="zh-CN"/>
        </w:rPr>
        <w:t xml:space="preserve"> </w:t>
      </w:r>
      <w:r>
        <w:rPr>
          <w:rFonts w:ascii="Times New Roman" w:hAnsi="Times New Roman" w:cs="Times New Roman"/>
        </w:rPr>
        <w:t>A. Equating Test Scores (Without IRT). Educational Testing Service, 2014.</w:t>
      </w:r>
    </w:p>
  </w:footnote>
  <w:footnote w:id="6">
    <w:p>
      <w:pPr>
        <w:pStyle w:val="5"/>
        <w:adjustRightInd w:val="0"/>
        <w:spacing w:line="240" w:lineRule="auto"/>
        <w:jc w:val="both"/>
      </w:pPr>
      <w:r>
        <w:rPr>
          <w:rStyle w:val="9"/>
          <w:rFonts w:ascii="Times New Roman" w:hAnsi="Times New Roman" w:cs="Times New Roman"/>
        </w:rPr>
        <w:footnoteRef/>
      </w:r>
      <w:r>
        <w:rPr>
          <w:rFonts w:ascii="Times New Roman" w:hAnsi="Times New Roman" w:cs="Times New Roman"/>
        </w:rPr>
        <w:t>杨志明. 学业水平考试事后等值的概念、条件与设计[J].教育测量与评价,2016(11):4-8.</w:t>
      </w:r>
    </w:p>
  </w:footnote>
  <w:footnote w:id="7">
    <w:p>
      <w:pPr>
        <w:pStyle w:val="5"/>
        <w:spacing w:line="240" w:lineRule="auto"/>
        <w:rPr>
          <w:rFonts w:ascii="Times New Roman" w:hAnsi="Times New Roman" w:cs="Times New Roman"/>
        </w:rPr>
      </w:pPr>
      <w:r>
        <w:rPr>
          <w:rStyle w:val="9"/>
          <w:rFonts w:ascii="Times New Roman" w:hAnsi="Times New Roman" w:cs="Times New Roman"/>
        </w:rPr>
        <w:footnoteRef/>
      </w:r>
      <w:r>
        <w:rPr>
          <w:rFonts w:hint="eastAsia" w:ascii="Times New Roman" w:cs="Times New Roman"/>
          <w:lang w:val="en-US" w:eastAsia="zh-CN"/>
        </w:rPr>
        <w:t>同</w:t>
      </w:r>
      <w:r>
        <w:rPr>
          <w:rFonts w:hint="default" w:ascii="Calibri" w:hAnsi="Calibri" w:cs="Calibri"/>
          <w:lang w:val="en-US" w:eastAsia="zh-CN"/>
        </w:rPr>
        <w:t>①</w:t>
      </w:r>
      <w:r>
        <w:rPr>
          <w:rFonts w:ascii="Times New Roman" w:hAnsi="Times New Roman" w:cs="Times New Roman"/>
        </w:rPr>
        <w:t>.</w:t>
      </w:r>
    </w:p>
  </w:footnote>
  <w:footnote w:id="8">
    <w:p>
      <w:pPr>
        <w:pStyle w:val="5"/>
        <w:rPr>
          <w:rFonts w:ascii="Times New Roman" w:hAnsi="Times New Roman" w:cs="Times New Roman"/>
        </w:rPr>
      </w:pPr>
      <w:r>
        <w:rPr>
          <w:rStyle w:val="9"/>
          <w:rFonts w:ascii="Times New Roman" w:hAnsi="Times New Roman" w:cs="Times New Roman"/>
        </w:rPr>
        <w:footnoteRef/>
      </w:r>
      <w:r>
        <w:rPr>
          <w:rFonts w:ascii="Times New Roman" w:cs="Times New Roman"/>
        </w:rPr>
        <w:t>杨志明</w:t>
      </w:r>
      <w:r>
        <w:rPr>
          <w:rFonts w:ascii="Times New Roman" w:hAnsi="Times New Roman" w:cs="Times New Roman"/>
        </w:rPr>
        <w:t xml:space="preserve">. </w:t>
      </w:r>
      <w:r>
        <w:rPr>
          <w:rFonts w:ascii="Times New Roman" w:cs="Times New Roman"/>
        </w:rPr>
        <w:t>学业水平考试事后等值的概念、条件与设计</w:t>
      </w:r>
      <w:r>
        <w:rPr>
          <w:rFonts w:ascii="Times New Roman" w:hAnsi="Times New Roman" w:cs="Times New Roman"/>
        </w:rPr>
        <w:t>[J].</w:t>
      </w:r>
      <w:r>
        <w:rPr>
          <w:rFonts w:ascii="Times New Roman" w:cs="Times New Roman"/>
        </w:rPr>
        <w:t>教育测量与评价</w:t>
      </w:r>
      <w:r>
        <w:rPr>
          <w:rFonts w:ascii="Times New Roman" w:hAnsi="Times New Roman" w:cs="Times New Roman"/>
        </w:rPr>
        <w:t>,2016(11):4-8.</w:t>
      </w:r>
    </w:p>
  </w:footnote>
  <w:footnote w:id="9">
    <w:p>
      <w:pPr>
        <w:pStyle w:val="5"/>
        <w:spacing w:line="240" w:lineRule="auto"/>
        <w:rPr>
          <w:rFonts w:ascii="Times New Roman" w:hAnsi="Times New Roman" w:cs="Times New Roman"/>
        </w:rPr>
      </w:pPr>
      <w:r>
        <w:rPr>
          <w:rStyle w:val="9"/>
          <w:rFonts w:ascii="Times New Roman" w:hAnsi="Times New Roman" w:cs="Times New Roman"/>
        </w:rPr>
        <w:footnoteRef/>
      </w:r>
      <w:r>
        <w:rPr>
          <w:rFonts w:hint="eastAsia" w:ascii="Times New Roman" w:hAnsi="Times New Roman" w:cs="Times New Roman"/>
          <w:lang w:val="en-US" w:eastAsia="zh-CN"/>
        </w:rPr>
        <w:t>同</w:t>
      </w:r>
      <w:r>
        <w:rPr>
          <w:rFonts w:hint="default" w:ascii="Calibri" w:hAnsi="Calibri" w:cs="Calibri"/>
          <w:lang w:val="en-US" w:eastAsia="zh-CN"/>
        </w:rPr>
        <w:t>①</w:t>
      </w:r>
      <w:r>
        <w:rPr>
          <w:rFonts w:hint="eastAsia" w:ascii="Times New Roman" w:hAnsi="Times New Roman" w:cs="Times New Roman"/>
          <w:lang w:val="en-US" w:eastAsia="zh-CN"/>
        </w:rPr>
        <w:t xml:space="preserve"> </w:t>
      </w:r>
      <w:r>
        <w:rPr>
          <w:rFonts w:ascii="Times New Roman" w:hAnsi="Times New Roman" w:cs="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5A6C57"/>
    <w:multiLevelType w:val="singleLevel"/>
    <w:tmpl w:val="EB5A6C57"/>
    <w:lvl w:ilvl="0" w:tentative="0">
      <w:start w:val="1"/>
      <w:numFmt w:val="decimal"/>
      <w:suff w:val="nothing"/>
      <w:lvlText w:val="（%1）"/>
      <w:lvlJc w:val="left"/>
    </w:lvl>
  </w:abstractNum>
  <w:abstractNum w:abstractNumId="1">
    <w:nsid w:val="2DDEF161"/>
    <w:multiLevelType w:val="singleLevel"/>
    <w:tmpl w:val="2DDEF161"/>
    <w:lvl w:ilvl="0" w:tentative="0">
      <w:start w:val="2"/>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characterSpacingControl w:val="doNotCompress"/>
  <w:footnotePr>
    <w:numFmt w:val="decimalEnclosedCircle"/>
    <w:numRestart w:val="eachPage"/>
    <w:footnote w:id="20"/>
    <w:footnote w:id="2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FjYjY1ZTEyNTYyODQ2NWMzZWUyMTI1MTZkNTc5ZjYifQ=="/>
  </w:docVars>
  <w:rsids>
    <w:rsidRoot w:val="00AF2522"/>
    <w:rsid w:val="00011285"/>
    <w:rsid w:val="000117DF"/>
    <w:rsid w:val="00014F5F"/>
    <w:rsid w:val="000515C7"/>
    <w:rsid w:val="000B455D"/>
    <w:rsid w:val="000B5138"/>
    <w:rsid w:val="000D2572"/>
    <w:rsid w:val="000D7FB6"/>
    <w:rsid w:val="000F1657"/>
    <w:rsid w:val="000F2FC4"/>
    <w:rsid w:val="000F3E14"/>
    <w:rsid w:val="000F4374"/>
    <w:rsid w:val="00100075"/>
    <w:rsid w:val="00107C48"/>
    <w:rsid w:val="00117B5A"/>
    <w:rsid w:val="001315F8"/>
    <w:rsid w:val="0013244D"/>
    <w:rsid w:val="00136D37"/>
    <w:rsid w:val="001711D5"/>
    <w:rsid w:val="0017237F"/>
    <w:rsid w:val="001B1410"/>
    <w:rsid w:val="001D2D82"/>
    <w:rsid w:val="001D3442"/>
    <w:rsid w:val="002164D7"/>
    <w:rsid w:val="00217A22"/>
    <w:rsid w:val="002251B0"/>
    <w:rsid w:val="00227E03"/>
    <w:rsid w:val="0023067E"/>
    <w:rsid w:val="002517A4"/>
    <w:rsid w:val="002831DF"/>
    <w:rsid w:val="00283AEB"/>
    <w:rsid w:val="00293688"/>
    <w:rsid w:val="002A7FF2"/>
    <w:rsid w:val="002D019F"/>
    <w:rsid w:val="003108AD"/>
    <w:rsid w:val="00321158"/>
    <w:rsid w:val="00380FFE"/>
    <w:rsid w:val="00382405"/>
    <w:rsid w:val="00383968"/>
    <w:rsid w:val="003A669B"/>
    <w:rsid w:val="003A6EAA"/>
    <w:rsid w:val="003D4FB8"/>
    <w:rsid w:val="00414D75"/>
    <w:rsid w:val="00416D9E"/>
    <w:rsid w:val="00441325"/>
    <w:rsid w:val="00464FCD"/>
    <w:rsid w:val="00465F8D"/>
    <w:rsid w:val="00475F0D"/>
    <w:rsid w:val="0048050E"/>
    <w:rsid w:val="00492669"/>
    <w:rsid w:val="004B4A4F"/>
    <w:rsid w:val="004B5759"/>
    <w:rsid w:val="004B6BC9"/>
    <w:rsid w:val="004C3F5D"/>
    <w:rsid w:val="004D0ECF"/>
    <w:rsid w:val="004E616A"/>
    <w:rsid w:val="0051530F"/>
    <w:rsid w:val="005242FD"/>
    <w:rsid w:val="00534835"/>
    <w:rsid w:val="00537C85"/>
    <w:rsid w:val="00544776"/>
    <w:rsid w:val="005472CD"/>
    <w:rsid w:val="00550C5F"/>
    <w:rsid w:val="005726E4"/>
    <w:rsid w:val="005934E7"/>
    <w:rsid w:val="005C79CC"/>
    <w:rsid w:val="005D3F58"/>
    <w:rsid w:val="005E3291"/>
    <w:rsid w:val="005E78B9"/>
    <w:rsid w:val="005F150F"/>
    <w:rsid w:val="005F2D71"/>
    <w:rsid w:val="00612CE0"/>
    <w:rsid w:val="006218F3"/>
    <w:rsid w:val="006306CF"/>
    <w:rsid w:val="0064774C"/>
    <w:rsid w:val="00653E04"/>
    <w:rsid w:val="0065599C"/>
    <w:rsid w:val="00657356"/>
    <w:rsid w:val="0066685A"/>
    <w:rsid w:val="00670ED9"/>
    <w:rsid w:val="006721B6"/>
    <w:rsid w:val="006813A2"/>
    <w:rsid w:val="006B1BB8"/>
    <w:rsid w:val="006B42C1"/>
    <w:rsid w:val="006C2C14"/>
    <w:rsid w:val="006D4911"/>
    <w:rsid w:val="006E5C79"/>
    <w:rsid w:val="006F11F4"/>
    <w:rsid w:val="007026BA"/>
    <w:rsid w:val="00703743"/>
    <w:rsid w:val="00726627"/>
    <w:rsid w:val="00746F5D"/>
    <w:rsid w:val="00752C01"/>
    <w:rsid w:val="007B1F73"/>
    <w:rsid w:val="007E5689"/>
    <w:rsid w:val="007E57EF"/>
    <w:rsid w:val="007E6F06"/>
    <w:rsid w:val="007F7EA6"/>
    <w:rsid w:val="008015C5"/>
    <w:rsid w:val="0080513F"/>
    <w:rsid w:val="008339E2"/>
    <w:rsid w:val="00875B8A"/>
    <w:rsid w:val="008801F1"/>
    <w:rsid w:val="008B2B7C"/>
    <w:rsid w:val="008B2E34"/>
    <w:rsid w:val="008B6C01"/>
    <w:rsid w:val="008F2C09"/>
    <w:rsid w:val="009116E4"/>
    <w:rsid w:val="00942426"/>
    <w:rsid w:val="009648E0"/>
    <w:rsid w:val="00965FA1"/>
    <w:rsid w:val="00966E03"/>
    <w:rsid w:val="00976A1E"/>
    <w:rsid w:val="00996B12"/>
    <w:rsid w:val="009A3312"/>
    <w:rsid w:val="009A3BD4"/>
    <w:rsid w:val="009D2183"/>
    <w:rsid w:val="009E3397"/>
    <w:rsid w:val="009F1C4E"/>
    <w:rsid w:val="009F6A71"/>
    <w:rsid w:val="00A10A15"/>
    <w:rsid w:val="00A14C1E"/>
    <w:rsid w:val="00A43179"/>
    <w:rsid w:val="00A46E0C"/>
    <w:rsid w:val="00A52330"/>
    <w:rsid w:val="00A53069"/>
    <w:rsid w:val="00A53520"/>
    <w:rsid w:val="00A631CE"/>
    <w:rsid w:val="00A87573"/>
    <w:rsid w:val="00AC03A7"/>
    <w:rsid w:val="00AC2521"/>
    <w:rsid w:val="00AC5611"/>
    <w:rsid w:val="00AF0BE9"/>
    <w:rsid w:val="00AF2522"/>
    <w:rsid w:val="00AF5554"/>
    <w:rsid w:val="00AF55A7"/>
    <w:rsid w:val="00B12086"/>
    <w:rsid w:val="00B3554E"/>
    <w:rsid w:val="00B357DB"/>
    <w:rsid w:val="00B46DAF"/>
    <w:rsid w:val="00B50D43"/>
    <w:rsid w:val="00B61858"/>
    <w:rsid w:val="00B7625D"/>
    <w:rsid w:val="00B87510"/>
    <w:rsid w:val="00BA652B"/>
    <w:rsid w:val="00BB1742"/>
    <w:rsid w:val="00BE4F30"/>
    <w:rsid w:val="00BF4D16"/>
    <w:rsid w:val="00BF64CE"/>
    <w:rsid w:val="00C00F10"/>
    <w:rsid w:val="00C1588B"/>
    <w:rsid w:val="00C1606A"/>
    <w:rsid w:val="00C37C8C"/>
    <w:rsid w:val="00C47DB1"/>
    <w:rsid w:val="00C47E64"/>
    <w:rsid w:val="00C57A7E"/>
    <w:rsid w:val="00C65F1C"/>
    <w:rsid w:val="00C81319"/>
    <w:rsid w:val="00C82D18"/>
    <w:rsid w:val="00C877A9"/>
    <w:rsid w:val="00CA0FEE"/>
    <w:rsid w:val="00CA2B5E"/>
    <w:rsid w:val="00CA3CF2"/>
    <w:rsid w:val="00CC2B33"/>
    <w:rsid w:val="00CF7E4F"/>
    <w:rsid w:val="00D44CE9"/>
    <w:rsid w:val="00D94870"/>
    <w:rsid w:val="00DF4F73"/>
    <w:rsid w:val="00E04A0F"/>
    <w:rsid w:val="00E10A1D"/>
    <w:rsid w:val="00E131DB"/>
    <w:rsid w:val="00E3156B"/>
    <w:rsid w:val="00E333F5"/>
    <w:rsid w:val="00E37C55"/>
    <w:rsid w:val="00E410D3"/>
    <w:rsid w:val="00E416CE"/>
    <w:rsid w:val="00E44892"/>
    <w:rsid w:val="00E61F4F"/>
    <w:rsid w:val="00E85CBD"/>
    <w:rsid w:val="00EA6D52"/>
    <w:rsid w:val="00EC3DC3"/>
    <w:rsid w:val="00EC612C"/>
    <w:rsid w:val="00F2321C"/>
    <w:rsid w:val="00F27EA8"/>
    <w:rsid w:val="00F5137F"/>
    <w:rsid w:val="00F603D1"/>
    <w:rsid w:val="00F666A0"/>
    <w:rsid w:val="00F71D10"/>
    <w:rsid w:val="00F76491"/>
    <w:rsid w:val="00F87571"/>
    <w:rsid w:val="00F94479"/>
    <w:rsid w:val="00FB7ECB"/>
    <w:rsid w:val="00FC00F0"/>
    <w:rsid w:val="00FC0C9E"/>
    <w:rsid w:val="00FD3D3E"/>
    <w:rsid w:val="00FD73A3"/>
    <w:rsid w:val="00FE3C4C"/>
    <w:rsid w:val="2FAE6846"/>
    <w:rsid w:val="41AC6500"/>
    <w:rsid w:val="57D03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0" w:semiHidden="0"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uiPriority w:val="99"/>
    <w:pPr>
      <w:spacing w:after="0" w:line="240" w:lineRule="auto"/>
    </w:pPr>
    <w:rPr>
      <w:rFonts w:ascii="Tahoma" w:hAnsi="Tahoma" w:cs="Tahoma"/>
      <w:sz w:val="16"/>
      <w:szCs w:val="16"/>
    </w:rPr>
  </w:style>
  <w:style w:type="paragraph" w:styleId="3">
    <w:name w:val="footer"/>
    <w:basedOn w:val="1"/>
    <w:link w:val="14"/>
    <w:unhideWhenUsed/>
    <w:qFormat/>
    <w:uiPriority w:val="99"/>
    <w:pPr>
      <w:tabs>
        <w:tab w:val="center" w:pos="4153"/>
        <w:tab w:val="right" w:pos="8306"/>
      </w:tabs>
      <w:snapToGrid w:val="0"/>
      <w:spacing w:line="240" w:lineRule="auto"/>
    </w:pPr>
    <w:rPr>
      <w:sz w:val="18"/>
      <w:szCs w:val="18"/>
    </w:rPr>
  </w:style>
  <w:style w:type="paragraph" w:styleId="4">
    <w:name w:val="header"/>
    <w:basedOn w:val="1"/>
    <w:link w:val="13"/>
    <w:unhideWhenUsed/>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5">
    <w:name w:val="footnote text"/>
    <w:basedOn w:val="1"/>
    <w:link w:val="12"/>
    <w:unhideWhenUsed/>
    <w:qFormat/>
    <w:uiPriority w:val="0"/>
    <w:pPr>
      <w:snapToGrid w:val="0"/>
    </w:pPr>
    <w:rPr>
      <w:sz w:val="18"/>
      <w:szCs w:val="18"/>
    </w:rPr>
  </w:style>
  <w:style w:type="character" w:styleId="8">
    <w:name w:val="Strong"/>
    <w:basedOn w:val="7"/>
    <w:qFormat/>
    <w:uiPriority w:val="22"/>
    <w:rPr>
      <w:b/>
      <w:bCs/>
    </w:rPr>
  </w:style>
  <w:style w:type="character" w:styleId="9">
    <w:name w:val="footnote reference"/>
    <w:basedOn w:val="7"/>
    <w:unhideWhenUsed/>
    <w:qFormat/>
    <w:uiPriority w:val="0"/>
    <w:rPr>
      <w:vertAlign w:val="superscript"/>
    </w:rPr>
  </w:style>
  <w:style w:type="paragraph" w:styleId="10">
    <w:name w:val="List Paragraph"/>
    <w:basedOn w:val="1"/>
    <w:qFormat/>
    <w:uiPriority w:val="34"/>
    <w:pPr>
      <w:ind w:left="720"/>
      <w:contextualSpacing/>
    </w:pPr>
  </w:style>
  <w:style w:type="character" w:customStyle="1" w:styleId="11">
    <w:name w:val="批注框文本 Char"/>
    <w:basedOn w:val="7"/>
    <w:link w:val="2"/>
    <w:semiHidden/>
    <w:qFormat/>
    <w:uiPriority w:val="99"/>
    <w:rPr>
      <w:rFonts w:ascii="Tahoma" w:hAnsi="Tahoma" w:cs="Tahoma"/>
      <w:sz w:val="16"/>
      <w:szCs w:val="16"/>
    </w:rPr>
  </w:style>
  <w:style w:type="character" w:customStyle="1" w:styleId="12">
    <w:name w:val="脚注文本 Char"/>
    <w:basedOn w:val="7"/>
    <w:link w:val="5"/>
    <w:qFormat/>
    <w:uiPriority w:val="0"/>
    <w:rPr>
      <w:sz w:val="18"/>
      <w:szCs w:val="18"/>
    </w:rPr>
  </w:style>
  <w:style w:type="character" w:customStyle="1" w:styleId="13">
    <w:name w:val="页眉 Char"/>
    <w:basedOn w:val="7"/>
    <w:link w:val="4"/>
    <w:qFormat/>
    <w:uiPriority w:val="99"/>
    <w:rPr>
      <w:sz w:val="18"/>
      <w:szCs w:val="18"/>
    </w:rPr>
  </w:style>
  <w:style w:type="character" w:customStyle="1" w:styleId="14">
    <w:name w:val="页脚 Char"/>
    <w:basedOn w:val="7"/>
    <w:link w:val="3"/>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5F464-CB29-4B02-8878-55450B95B51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5516</Words>
  <Characters>7898</Characters>
  <Lines>63</Lines>
  <Paragraphs>17</Paragraphs>
  <TotalTime>4</TotalTime>
  <ScaleCrop>false</ScaleCrop>
  <LinksUpToDate>false</LinksUpToDate>
  <CharactersWithSpaces>8401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2022-10-10T08:55:00Z</dcterms:created>
  <dc:creator>Jimmy CN</dc:creator>
  <cp:lastModifiedBy>南烟诸梦</cp:lastModifiedBy>
  <cp:lastPrinted>2022-10-25T01:46:00Z</cp:lastPrinted>
  <dcterms:modified xsi:type="dcterms:W3CDTF">2024-06-09T03:48:35Z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42E07BDEE9534B52A9388881AF012459_13</vt:lpwstr>
  </property>
</Properties>
</file>